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F7E242" Type="http://schemas.openxmlformats.org/officeDocument/2006/relationships/officeDocument" Target="/word/document.xml" /><Relationship Id="coreR58F7E242" Type="http://schemas.openxmlformats.org/package/2006/relationships/metadata/core-properties" Target="/docProps/core.xml" /><Relationship Id="customR58F7E2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Kovárenský technik technolog / kovárenská technička technoložka tepelného zpracování kovů (kód: 21-062-M)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Stanovení technologických postupů tepelného zpracování výkovků dle standardů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režimu tepelného zpracování výkovků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postupů pro zkoušení materiálu včetně vyhodnocení výsledků zkoušek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Řešení neshod ve výrobě a reklamací výkovků zaviněných nevhodným tepelným zpracováním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Zajištění technické přípravy změn sortimentu a zavádění nových produktů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technické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27.10.2026 5:23:28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pracovních činností této profesní kvalifikace je vyžadována a prokazuje se lékařským potvrzením (viz. http://katalog.nsp.cz/zdravotniPodminky.aspx?id_jp= 101980).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27.10.2026 5:23:28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hutnictví, slévárenství a kovárenství,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ECOSOND,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Moravské kovárny,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Kovárenský technik technolog / kovárenská technička technoložka tepelného zpracování kovů, 27.10.2026 5:23:28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