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03A60" Type="http://schemas.openxmlformats.org/officeDocument/2006/relationships/officeDocument" Target="/word/document.xml" /><Relationship Id="coreR1C703A60" Type="http://schemas.openxmlformats.org/package/2006/relationships/metadata/core-properties" Target="/docProps/core.xml" /><Relationship Id="customR1C703A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Dělník v koželužské výrobě 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1.11.2026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https://nsp.cz/jednotka-prace/delnik-v-kozeluzske-vyrob#zdravotni-zpusobilost).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hodnocení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 operací a produktů (polotovarů a výrobků),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pomůcek v koželužské výrob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ě, kritéria hodnocení c), zadá autorizovaná osoba pro ověření kritéria hodnocení minimálně 2 a maximálně 5 vzorků od každého materiálu, a to podle zaměření konkrétní koželužské výroby podle aktuálního výrobního programu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koželužských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určí autorizovaná osoba typ koželužského stroje, který bude uchazeč seřizovat.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 v koželužské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c), určí autorizovaná osoba konkrétní pracovní operaci, kterou bude uchazeč vykonávat.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zpracování usní a kožešin po činění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osoba, zda bude ověřování kompetence probíhat v technologickém procesu výroby kožešin nebo při zpracování usní; dále při ověřování této odborné kompetence u kritérií hodnocení a) a d) zadá autorizovaná osoba minimálně 2 a maximálně 5 vzorků od každého materiálu, a to podle zaměření konkrétní koželužské výroby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1.11.2026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koželužské výrobě , 1.11.2026 2:46:51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