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A23AA" Type="http://schemas.openxmlformats.org/officeDocument/2006/relationships/officeDocument" Target="/word/document.xml" /><Relationship Id="coreR344A23AA" Type="http://schemas.openxmlformats.org/package/2006/relationships/metadata/core-properties" Target="/docProps/core.xml" /><Relationship Id="customR344A23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koželužské výrobě 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Volba postupu práce, materiálů a pomůcek v koželužské výrobě, kritérium d), zadá autorizovaná osoba pro ověření kritéria minimálně 2 a maximálně 5 vzorků od každého materiálu, a to podle zaměření konkrétní koželužské výroby a místa konání zkoušky.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Výroba a opracování holiny v koželužské výrobě, kritérium c), určí autorizovaná osoba konkrétní pracovní operaci, kterou bude uchazeč vykonávat.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Úprava a zpracování usní a kožešin po činění, určí autorizovaná osoba, zda bude ověřování kompetence prováděno v technologickém procesu výroby kožešin nebo při zpracování usní. Dále při ověřování odborné kompetence Úprava a zpracování usní a kožešin po činění, kritérium b), zadá autorizovaná osoba pro ověření kritéria minimálně 2 a maximálně 5 vzorků od každého materiálu, a to podle zaměření konkrétní koželužské výroby a místa konání zkoušky.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