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A309A" Type="http://schemas.openxmlformats.org/officeDocument/2006/relationships/officeDocument" Target="/word/document.xml" /><Relationship Id="coreR726A309A" Type="http://schemas.openxmlformats.org/package/2006/relationships/metadata/core-properties" Target="/docProps/core.xml" /><Relationship Id="customR726A3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koželužské výrobě , 28.4.2026 23:03:08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pracovní postup u stanovené pracovní operace koželužského procesu při dodržení zásad BOZP a vyhodnotit jeho správnost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ekologické zpracování koželužského odpadu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Určit a pojmenovat předložené vzorky usňových a kožešinových materiálů, popsat jejich vlastnosti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Obsluha koželužských strojů a zařízení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Popsat složení stanoveného koželužského stroje a obsluhovat stroje a zařízení potřebné pro výrobu holiny usní a kožešin podle zadání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Seřizování, ošetřování a údržba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340" w:hRule="exact" w:wrap="none" w:vAnchor="page" w:hAnchor="margin" w:x="28" w:y="12485"/>
        <w:rPr>
          <w:rStyle w:val="C18"/>
          <w:rtl w:val="0"/>
        </w:rPr>
      </w:pPr>
      <w:r>
        <w:rPr>
          <w:rStyle w:val="C18"/>
          <w:rtl w:val="0"/>
        </w:rPr>
        <w:t>Výroba a opracování holiny v koželužské výrobě</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Ústní ověření</w:t>
      </w:r>
    </w:p>
    <w:p>
      <w:pPr>
        <w:pStyle w:val="P12"/>
        <w:framePr w:w="6710" w:h="607" w:hRule="exact" w:wrap="none" w:vAnchor="page" w:hAnchor="margin" w:x="45" w:y="14514"/>
        <w:rPr>
          <w:rStyle w:val="C3"/>
          <w:rtl w:val="0"/>
        </w:rPr>
      </w:pPr>
    </w:p>
    <w:p>
      <w:pPr>
        <w:pStyle w:val="P13"/>
        <w:framePr w:w="6658" w:h="480" w:hRule="exact" w:wrap="none" w:vAnchor="page" w:hAnchor="margin" w:x="71" w:y="14570"/>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514"/>
        <w:rPr>
          <w:rStyle w:val="C3"/>
          <w:rtl w:val="0"/>
        </w:rPr>
      </w:pPr>
    </w:p>
    <w:p>
      <w:pPr>
        <w:pStyle w:val="P29"/>
        <w:framePr w:w="3839" w:h="480" w:hRule="exact" w:wrap="none" w:vAnchor="page" w:hAnchor="margin" w:x="6856" w:y="14570"/>
        <w:rPr>
          <w:rStyle w:val="C21"/>
          <w:rtl w:val="0"/>
        </w:rPr>
      </w:pPr>
      <w:r>
        <w:rPr>
          <w:rStyle w:val="C21"/>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28.4.2026 23:03:08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úpravy a zpracování usní a kožešin, navrhnout způsob konečné úpravy pro stanovený materiál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způsob úpravy u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 pracovní operace napínání, stanovit účel práce a předvést tuto operaci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pracovní postup a předvést pracovní operaci sušení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28.4.2026 23:03:08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koželužské výroby.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Volba postupu práce, materiálů a pomůcek v koželužské výrobě, kritérium d),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Výroba a opracování holiny v koželužské výrobě, kritérium c), určí autorizovaná osoba konkrétní pracovní operaci, kterou bude uchazeč vykonávat.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Úprava a zpracování usní a kožešin po činění, určí autorizovaná osoba, zda bude ověřování kompetence prováděno v technologickém procesu výroby kožešin nebo při zpracování usní. Dále při ověřování odborné kompetence Úprava a zpracování usní a kožešin po činění, kritérium b),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jednoznačnost formulací a využívání teoretických znalostí pro řešení úkolů.</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koželužské výrobě , 28.4.2026 23:03:08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aplikovaná chemie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odborného výcviku nebo praktického vyučování v oblasti koželužské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 střední vzdělání s maturitní zkouškou a alespoň 5 let odborné praxe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28.4.2026 23:03:08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časti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koželužskou technikou a technologií a to v souladu s ekologickým provozem, připojená k energetickým zdrojům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28.4.2026 23:03:08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Dělník v koželužské výrobě , 28.4.2026 23:03:08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32A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61B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372B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