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F0C5A" Type="http://schemas.openxmlformats.org/officeDocument/2006/relationships/officeDocument" Target="/word/document.xml" /><Relationship Id="coreR612F0C5A" Type="http://schemas.openxmlformats.org/package/2006/relationships/metadata/core-properties" Target="/docProps/core.xml" /><Relationship Id="customR612F0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obuvnické výrobě 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na spodkové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https://nsp.cz/jednotka-prace/delnik-v-obuvnicke-vyrobe#zdravotni-zpusobilost).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Vysekávání obuvnických dílců vysekávacím strojem, kritéria c) a d), zadá autorizovaná osoba pro ověření kritérií minimálně 10 a maximálně 20 vzorků podšívkových dílců z usňového materiálu a minimálně 10 a maximálně 20 vzorků podšívkových dílců ze syntetického materiálu, a to podle zaměření konkrétní kožedělné výroby (obuvnická výroba) a místa konání zkoušky. Při ověřování odborné kompetence Úprava vzhledu obuvi, kritérium a), zadá autorizovaná osoba pro ověření kritéria minimálně 1 a maximálně 3 vzorky usňové obuvi, a to podle zaměření konkrétní kožedělné výroby (obuvnická výroba) a místa konání zkoušky.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obuvnické dílně, u konkrétních pracovních operací a strojů.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 a využívání teoretických znalostí při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1.11.2026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