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CBE52" Type="http://schemas.openxmlformats.org/officeDocument/2006/relationships/officeDocument" Target="/word/document.xml" /><Relationship Id="coreR51BCBE52" Type="http://schemas.openxmlformats.org/package/2006/relationships/metadata/core-properties" Target="/docProps/core.xml" /><Relationship Id="customR51BCBE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normy (normy kvality, ISO normy), vyjmenovat technické podmínky pro oddělování, vyztužování a spojování, uvést velikostní systémy oděvních výrobků, požadavky na značení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na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expedičních termínů aj. okolností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na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návrh na použití vhodných strojů a zařízení potřebných pro zhotovení konkrétního oděvního výrobku, zohlednit seznam strojového vybavení, které je k dispozici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především na výsledek prováděné činnosti s přihlédnutím k možnosti různých variant řešení.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záznamové archy, případně PC</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dispečer, 29.10.2026 2:23:26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EF3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076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7107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