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05C" Type="http://schemas.openxmlformats.org/officeDocument/2006/relationships/officeDocument" Target="/word/document.xml" /><Relationship Id="coreR19105C" Type="http://schemas.openxmlformats.org/package/2006/relationships/metadata/core-properties" Target="/docProps/core.xml" /><Relationship Id="customR1910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chmele a jeho nároky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podniku. Podklady pro ověření kompetencí budou brány z konkrétního podniku.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„Charakteristika chmele a jeho nároky na klimatické a půdní podmínky“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„Organizace výživy a hnojení s ohledem na stanoviště a průběh vegetace“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„Diagnostika škodlivých organismů chmele a ošetření proti nim“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Metodická příručka integrované ochrany rostlin a Registr přípravků na ochranu rostlin.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„Vedení prvotní evidence v zemědělském podniku“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k internetu.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