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D9A23" Type="http://schemas.openxmlformats.org/officeDocument/2006/relationships/officeDocument" Target="/word/document.xml" /><Relationship Id="coreR56BD9A23" Type="http://schemas.openxmlformats.org/package/2006/relationships/metadata/core-properties" Target="/docProps/core.xml" /><Relationship Id="customR56BD9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lnu a konopí a jejich nároků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lnu a konopí a jejich nároků na půdní a klimatické podmínky bude kritérium b) ověřeno s využitím alespoň 2 vzorků semen a 5 fotografií vývojových fází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organismů v porostech lnu a konopí a opatření proti nim" v kritériu a) bude uchazeč určovat škodlivé činitele v terénu a následně určí alespoň 10 škodlivých činitelů s využitím preparátů a obrazové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technických plodin v zemědělském podniku. Podklady pro ověření kompetencí budou brány z konkrétního podniku nebo vytvořeny pro vzorový podnik.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„Organizace výživy a hnojení s ohledem na stanoviště a průběh vegetace u lnu a konopí“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„Diagnostika škodlivých organismů v porostech lnu a konopí a opatření proti nim“ bude k prověření kritéria a) k dispozici vzorky a obrazová dokumentace škodlivých organismů a k prověření kritérií b), c), d) Metodická příručka integrované ochrany rostlin, Seznam přípravků na ochranu rostlin platný pro aktuální rok.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prvotní evidence v zemědělském podniku“ 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na web.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ve druhém čtvrtletí kalendářního roku.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zemědělská škola Brandýs nad Labem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