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C8F55" Type="http://schemas.openxmlformats.org/officeDocument/2006/relationships/officeDocument" Target="/word/document.xml" /><Relationship Id="coreR154C8F55" Type="http://schemas.openxmlformats.org/package/2006/relationships/metadata/core-properties" Target="/docProps/core.xml" /><Relationship Id="customR154C8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seznamy zákonů a vyhlášek, katalogy, firemní materiály apod.).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posuzuje schopnost uchazeče využívat předpisy, návody a dokumenty v reálných podmínkách, a to z hlediska jejich účelu, bezpečnosti práce, požadované kvality druhotných surovin. Vzhledem ke specifické problematice autovraků - vozidel s ukončenou životností ovlivňované směrnicí EU 2000/53/EC je nutno při zkouškách věnovat této problematice zvýšenou pozornost ze strany zkoušejících, především po stránce vybavenosti pracoviště, na kterém bude probíhat praktická část zkoušek.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kvalitě provedení operací uchazečem. Při ověřování kritérií hodnocení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pro autovraky 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zpracovatelů autovraků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VOŠ-SOU Kopřivnice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