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1CE85" Type="http://schemas.openxmlformats.org/officeDocument/2006/relationships/officeDocument" Target="/word/document.xml" /><Relationship Id="coreR7D31CE85" Type="http://schemas.openxmlformats.org/package/2006/relationships/metadata/core-properties" Target="/docProps/core.xml" /><Relationship Id="customR7D31C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Garant/garantka bezpečnosti pro oblast práce s dětmi a mládeží v zájmovém a neformálním vzdělávání, 20.9.2026 4:41:28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Garant/garantka bezpečnosti pro oblast práce s dětmi a mládeží v zájmovém a neformálním vzdělávání, 20.9.2026 4:41:28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