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CE29F4" Type="http://schemas.openxmlformats.org/officeDocument/2006/relationships/officeDocument" Target="/word/document.xml" /><Relationship Id="coreR6FCE29F4" Type="http://schemas.openxmlformats.org/package/2006/relationships/metadata/core-properties" Target="/docProps/core.xml" /><Relationship Id="customR6FCE29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přípravy lomové těžby (kód: 21-049-M)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předpisech v lomové těžbě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dokumentech pro plánování těžebních postupů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těžebních postupů v lomu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podkladech, potřebných pro rozvoj lomu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Vypracování projektu skrývkových prací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předpisech pro těžební práce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přípravy lomové těžby, 27.10.2026 2:23:03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"https://www.nsp.cz/jednotka-prace/bansky-technik-pro-povrch"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https://www.nsp.cz/jednotka-prace/bansky-technik-pro-povrch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"https://www.nsp.cz/jednotka-prace/bansky-technik-pro-povrch"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 xml:space="preserve"> 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zkoušce musí mít autorizovaná osoba dokumentaci potřebnou pro povrchovou těžbu, včetně grafických příloh (podkladů), zákonů, vyhlášek a nařízení vlády pro povrchové dobývání a související předpisy.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reálném prostředí lomu a na školicím pracovišti na povrchu (lomu).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přípravy lomové těžby, 27.10.2026 2:23:03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LB MINERALS,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Sokolovská uhelná,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DOBET,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 – SILNICE,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přípravy lomové těžby, 27.10.2026 2:23:03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