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B3ACCD" Type="http://schemas.openxmlformats.org/officeDocument/2006/relationships/officeDocument" Target="/word/document.xml" /><Relationship Id="coreR55B3ACCD" Type="http://schemas.openxmlformats.org/package/2006/relationships/metadata/core-properties" Target="/docProps/core.xml" /><Relationship Id="customR55B3AC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lomové těžby (kód: 21-049-M)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předpisech v lomové těžbě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dokumentech pro plánování těžebních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těžebních postupů v lomu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podkladech, potřebných pro rozvoj lomu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projektu skrývkových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předpisech pro těžební práce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 xml:space="preserve"> 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zkoušce musí mít autorizovaná osoba dokumentaci potřebnou pro povrchovou těžbu, včetně grafických příloh (podkladů), zákonů, vyhlášek a nařízení vlády pro povrchové dobývání a související předpisy.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prostředí lomu a na školicím pracovišti na povrchu (lomu).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LB MINERALS,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DOBET,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18:34:03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