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7ED8C" Type="http://schemas.openxmlformats.org/officeDocument/2006/relationships/officeDocument" Target="/word/document.xml" /><Relationship Id="coreR3077ED8C" Type="http://schemas.openxmlformats.org/package/2006/relationships/metadata/core-properties" Target="/docProps/core.xml" /><Relationship Id="customR3077ED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důlní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Spolupráce při navrhování optimálních variant OPD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výkresové dokumentace dobývání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dílčích částí plánu dobývání a přípravy včetně příslušných důlně-technických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v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s odbornými úseky při zpracovávání plánů otvírky, příprav a dobývání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přípravy důlní výroby, 13.6.2026 11:49:51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Spolupráce při navrhování optimálních variant OPD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relevantní údaje pro tvorbu variant plánu otvírky, příprav a dobývání (tzv. OPD)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Zpracovat varianty OPD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z příslušných podkladových materiálů a propočtů optimální variantu plánu OPD</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Vypracovávání výkresové dokumentace dobývání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schopnost čtení provozní, technické a výkresové dokumentace důlních děl a důlně-měřičské dokumentace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Nakreslit výkresovou dokumentaci důlního díla</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Zpracovávání dílčích částí plánu dobývání a přípravy včetně příslušných důlně-technických ukazatelů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Zpracovat zadanou dílčí část plánu dobývání a přípravy včetně příslušných důlně-technických ukazatelů</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Provést k vyhotovené dílčí části plánu dobývání a přípravy potřebné výpočty pro vybrané důlně-technické ukazatele</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předvedení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c) Vypracovat s využitím vypočtených hodnot a získaných údajů příslušné nezbytné důlně-technické ukazatele k vyhotovené dílčí části plánu přípravy a dobývání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d) Vyhodnotit dílčí části plánu přípravy a dobývání a provést potřebné výpočty pro zpracování ročního a měsíčního plánu výroby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13.6.2026 11:49:51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vybraného důlního pracoviště z hlediska dodržování pracovní a technologické kázně, provozního postupu, bezpečnostních a hygienických předpisů, včetně kontroly složení důlního ovzduší na pracovištích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rozbor výsledků provedené kontroly dle bodu a)</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Písemné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Prokázat znalost ustanovení právních a interních předpisů přímo souvisejících s vykonávanou činností</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Vedení provozní a technické dokumentace v dobývání</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831" w:hRule="exact" w:wrap="none" w:vAnchor="page" w:hAnchor="margin" w:x="45" w:y="7204"/>
        <w:rPr>
          <w:rStyle w:val="C3"/>
          <w:rtl w:val="0"/>
        </w:rPr>
      </w:pPr>
    </w:p>
    <w:p>
      <w:pPr>
        <w:pStyle w:val="P13"/>
        <w:framePr w:w="6658" w:h="704" w:hRule="exact" w:wrap="none" w:vAnchor="page" w:hAnchor="margin" w:x="71" w:y="7260"/>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7204"/>
        <w:rPr>
          <w:rStyle w:val="C3"/>
          <w:rtl w:val="0"/>
        </w:rPr>
      </w:pPr>
    </w:p>
    <w:p>
      <w:pPr>
        <w:pStyle w:val="P29"/>
        <w:framePr w:w="3839" w:h="704" w:hRule="exact" w:wrap="none" w:vAnchor="page" w:hAnchor="margin" w:x="6856" w:y="7260"/>
        <w:rPr>
          <w:rStyle w:val="C21"/>
          <w:rtl w:val="0"/>
        </w:rPr>
      </w:pPr>
      <w:r>
        <w:rPr>
          <w:rStyle w:val="C21"/>
          <w:rtl w:val="0"/>
        </w:rPr>
        <w:t>Praktické předvedení</w:t>
      </w:r>
    </w:p>
    <w:p>
      <w:pPr>
        <w:pStyle w:val="P16"/>
        <w:framePr w:w="6710" w:h="831" w:hRule="exact" w:wrap="none" w:vAnchor="page" w:hAnchor="margin" w:x="45" w:y="8035"/>
        <w:rPr>
          <w:rStyle w:val="C3"/>
          <w:rtl w:val="0"/>
        </w:rPr>
      </w:pPr>
    </w:p>
    <w:p>
      <w:pPr>
        <w:pStyle w:val="P17"/>
        <w:framePr w:w="6658" w:h="704" w:hRule="exact" w:wrap="none" w:vAnchor="page" w:hAnchor="margin" w:x="71" w:y="8091"/>
        <w:rPr>
          <w:rStyle w:val="C13"/>
          <w:rtl w:val="0"/>
        </w:rPr>
      </w:pPr>
      <w:r>
        <w:rPr>
          <w:rStyle w:val="C13"/>
          <w:rtl w:val="0"/>
        </w:rPr>
        <w:t>b) Zaznamenat na počítači předepsaným způsobem relevantní údaje do provozní dokumentace (především technologický postup pro dané pracoviště)</w:t>
      </w:r>
    </w:p>
    <w:p>
      <w:pPr>
        <w:pStyle w:val="P30"/>
        <w:framePr w:w="3921" w:h="831" w:hRule="exact" w:wrap="none" w:vAnchor="page" w:hAnchor="margin" w:x="6800" w:y="8035"/>
        <w:rPr>
          <w:rStyle w:val="C3"/>
          <w:rtl w:val="0"/>
        </w:rPr>
      </w:pPr>
    </w:p>
    <w:p>
      <w:pPr>
        <w:pStyle w:val="P31"/>
        <w:framePr w:w="3839" w:h="704" w:hRule="exact" w:wrap="none" w:vAnchor="page" w:hAnchor="margin" w:x="6856" w:y="8091"/>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Popsat, které odborné úseky zajišťují potřebné údaje pro zpracování plánu otvírky, příprav, dobývání a likvidace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Ústní ověření</w:t>
      </w:r>
    </w:p>
    <w:p>
      <w:pPr>
        <w:pStyle w:val="P16"/>
        <w:framePr w:w="6710" w:h="607" w:hRule="exact" w:wrap="none" w:vAnchor="page" w:hAnchor="margin" w:x="45" w:y="10837"/>
        <w:rPr>
          <w:rStyle w:val="C3"/>
          <w:rtl w:val="0"/>
        </w:rPr>
      </w:pPr>
    </w:p>
    <w:p>
      <w:pPr>
        <w:pStyle w:val="P17"/>
        <w:framePr w:w="6658" w:h="480" w:hRule="exact" w:wrap="none" w:vAnchor="page" w:hAnchor="margin" w:x="71" w:y="10893"/>
        <w:rPr>
          <w:rStyle w:val="C13"/>
          <w:rtl w:val="0"/>
        </w:rPr>
      </w:pPr>
      <w:r>
        <w:rPr>
          <w:rStyle w:val="C13"/>
          <w:rtl w:val="0"/>
        </w:rPr>
        <w:t>b) Popsat postup při výběru optimální varianty navrhovaných plánů otvírky, přípravy, dobývání a likvidace</w:t>
      </w:r>
    </w:p>
    <w:p>
      <w:pPr>
        <w:pStyle w:val="P30"/>
        <w:framePr w:w="3921" w:h="607" w:hRule="exact" w:wrap="none" w:vAnchor="page" w:hAnchor="margin" w:x="6800" w:y="10837"/>
        <w:rPr>
          <w:rStyle w:val="C3"/>
          <w:rtl w:val="0"/>
        </w:rPr>
      </w:pPr>
    </w:p>
    <w:p>
      <w:pPr>
        <w:pStyle w:val="P31"/>
        <w:framePr w:w="3839" w:h="480" w:hRule="exact" w:wrap="none" w:vAnchor="page" w:hAnchor="margin" w:x="6856" w:y="10893"/>
        <w:rPr>
          <w:rStyle w:val="C22"/>
          <w:rtl w:val="0"/>
        </w:rPr>
      </w:pPr>
      <w:r>
        <w:rPr>
          <w:rStyle w:val="C22"/>
          <w:rtl w:val="0"/>
        </w:rPr>
        <w:t>Ústní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Popsat a odůvodnit maximální využití ložiska v souladu s BOZP</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13.6.2026 11:49:51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důlní výroby, 13.6.2026 11:49:51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v oblasti hornictví, z toho minimálně jeden rok v období posledních dvou let před podáním žádosti o autorizaci a osvědčení o odborné kvalifikaci a způsobilosti báňského projektanta vydané příslušným OBÚ ve smyslu vyhlášky 298/2005 Sb.</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298/2005 Sb.</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a výkresová dokumentace, včetně PC </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přípravy důlní výroby, 13.6.2026 11:49:51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přípravy důlní výroby, 13.6.2026 11:49:51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Technik přípravy důlní výroby, 13.6.2026 11:49:51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F89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813F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59CC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