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CF9E6" Type="http://schemas.openxmlformats.org/officeDocument/2006/relationships/officeDocument" Target="/word/document.xml" /><Relationship Id="coreR37CF9E6" Type="http://schemas.openxmlformats.org/package/2006/relationships/metadata/core-properties" Target="/docProps/core.xml" /><Relationship Id="customR37CF9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kompletace dokumentů technických projektů v hlubinných dolech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 dobývání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s odbornými úseky při zpracovávání plánů otvírky, příprav a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přípravy důlní výroby, 27.10.2026 3:47:41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řešících problematiku otvírky, přípravy, dobývání a likvidace hlubinného důlního díla (zákon č. 44/1988 Sb., zákon č. 61/1988 Sb., vyhláška č. 22/1989 Sb., vyhláška č. 175/1992 Sb., vyhláška č. 52/1997 Sb., vyhláška č. 659/2004 Sb., vyhláška č. 435/1992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Prokázat znalost interních předpisů řešící problematiku otvírky, přípravy, dobývání a likvidace hlubinného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na příslušné dokumentaci údaje uvedené v plánu otvírky, přípravy, dobývání a likvidace hlubinného důlního díla</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na mapové dokumentaci co určuje technologický postup pro ražení (vyhláška ČBÚ č. 22/1989 Sb., § 43) a technologický postup pro dobývání (vyhláška ČBÚ č. 22/1989 Sb., § 59)</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Příprava a kompletace dokumentů technických projektů v hlubinných dolech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Vyhledat dle zadání relevantní údaje pro tvorbu plánu otvírky, příprav a dobývání (tzv. OPD)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Zpracovat dle zadání plán ražení a dobývání včetně navržení příslušných důlně-technických ukazatelů</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c) Provést výpočty potřebných důlně-ekonomických ukazatelů k navrženému plánu ražení a dobývání (celková metráž, objem těžby, ukazatele denního postupu, výkonu)</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Vysvětlit podstatu dlouhodobého (DDV), střednědobého (SDV) výhledu, operativního plánu OPD a technického režimu (TR)</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potřebné výpočty ročního a měsíčního plánu výroby (metráže, těžby)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f) Vysvětlit podstatu technologického projektu I° a II° (stupně)</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Provést kontrolu vybraného důlního pracoviště z hlediska dodržování technologických a provozních postupů, bezpečnostních a hygienických předpisů, včetně kontroly složení důlního ovzduší na pracovištích</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376" w:hRule="exact" w:wrap="none" w:vAnchor="page" w:hAnchor="margin" w:x="45" w:y="13822"/>
        <w:rPr>
          <w:rStyle w:val="C3"/>
          <w:rtl w:val="0"/>
        </w:rPr>
      </w:pPr>
    </w:p>
    <w:p>
      <w:pPr>
        <w:pStyle w:val="P17"/>
        <w:framePr w:w="6658" w:h="249" w:hRule="exact" w:wrap="none" w:vAnchor="page" w:hAnchor="margin" w:x="71" w:y="13878"/>
        <w:rPr>
          <w:rStyle w:val="C13"/>
          <w:rtl w:val="0"/>
        </w:rPr>
      </w:pPr>
      <w:r>
        <w:rPr>
          <w:rStyle w:val="C13"/>
          <w:rtl w:val="0"/>
        </w:rPr>
        <w:t>b) Provést rozbor výsledků provedené kontroly dle bodu a)</w:t>
      </w:r>
    </w:p>
    <w:p>
      <w:pPr>
        <w:pStyle w:val="P30"/>
        <w:framePr w:w="3921" w:h="376" w:hRule="exact" w:wrap="none" w:vAnchor="page" w:hAnchor="margin" w:x="6800" w:y="13822"/>
        <w:rPr>
          <w:rStyle w:val="C3"/>
          <w:rtl w:val="0"/>
        </w:rPr>
      </w:pPr>
    </w:p>
    <w:p>
      <w:pPr>
        <w:pStyle w:val="P31"/>
        <w:framePr w:w="3839" w:h="249" w:hRule="exact" w:wrap="none" w:vAnchor="page" w:hAnchor="margin" w:x="6856" w:y="13878"/>
        <w:rPr>
          <w:rStyle w:val="C22"/>
          <w:rtl w:val="0"/>
        </w:rPr>
      </w:pPr>
      <w:r>
        <w:rPr>
          <w:rStyle w:val="C22"/>
          <w:rtl w:val="0"/>
        </w:rPr>
        <w:t>Praktické předvedení a ústní ověření</w:t>
      </w:r>
    </w:p>
    <w:p>
      <w:pPr>
        <w:pStyle w:val="P12"/>
        <w:framePr w:w="6710" w:h="831" w:hRule="exact" w:wrap="none" w:vAnchor="page" w:hAnchor="margin" w:x="45" w:y="14198"/>
        <w:rPr>
          <w:rStyle w:val="C3"/>
          <w:rtl w:val="0"/>
        </w:rPr>
      </w:pPr>
    </w:p>
    <w:p>
      <w:pPr>
        <w:pStyle w:val="P13"/>
        <w:framePr w:w="6658" w:h="704" w:hRule="exact" w:wrap="none" w:vAnchor="page" w:hAnchor="margin" w:x="71" w:y="14254"/>
        <w:rPr>
          <w:rStyle w:val="C11"/>
          <w:rtl w:val="0"/>
        </w:rPr>
      </w:pPr>
      <w:r>
        <w:rPr>
          <w:rStyle w:val="C11"/>
          <w:rtl w:val="0"/>
        </w:rPr>
        <w:t>c) Navrhnout na základě rozboru výsledků provedené kontroly opatření, směřující ke zlepšení pracovních postupů a dodržování bezpečnostních a hygienických předpisů</w:t>
      </w:r>
    </w:p>
    <w:p>
      <w:pPr>
        <w:pStyle w:val="P28"/>
        <w:framePr w:w="3921" w:h="831" w:hRule="exact" w:wrap="none" w:vAnchor="page" w:hAnchor="margin" w:x="6800" w:y="14198"/>
        <w:rPr>
          <w:rStyle w:val="C3"/>
          <w:rtl w:val="0"/>
        </w:rPr>
      </w:pPr>
    </w:p>
    <w:p>
      <w:pPr>
        <w:pStyle w:val="P29"/>
        <w:framePr w:w="3839" w:h="704" w:hRule="exact" w:wrap="none" w:vAnchor="page" w:hAnchor="margin" w:x="6856" w:y="14254"/>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27.10.2026 3:47:41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v dobývání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na počítači předepsaným způsobem relevantní údaje do provozní dokumentace důlního díla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Vysvětlit, které odborné úseky zajišťují potřebné údaje pro zpracování plánu otvírky, příprav, dobývání a likvidace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postup a předvést na modelové situaci výběr optimální varianty navrhovaných plánů otvírky, přípravy, dobývání a likvidace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Popsat a odůvodnit maximální využití ložiska v souladu s úsekem BOZP</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27.10.2026 3:47:41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https://www.nsp.cz/jednotka-prace/technik-pripravy-dulni-vy#zdravotni-zpusobilost).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 "Spolupráce s odbornými úseky při zpracovávání plánů otvírky, příprav a dobývání" z každé oblasti jednu modelovou situaci typickou pro: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plánování otvírky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pro dobývání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postup dobývání a likvidace.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přípravy důlní výroby, 27.10.2026 3:47:41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oblasti hornictví nebo ve funkci učitele praktického vyučování v oblasti hornictví a osvědčení o odborné kvalifikaci a způsobilosti báňského projektanta vydané příslušným OBÚ ve smyslu vyhlášky 298/2005 Sb.</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oblasti hornictví nebo ve funkci učitele odborných předmětů a způsobilosti báňského projektanta vydané příslušným OBÚ ve smyslu vyhlášky 298/2005 Sb.</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dle § 5 odst. 2 zákona č. 61/1988 Sb., o hornické činnosti, výbušninách a o státní báňské správě, ve znění pozdějších předpisů.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31"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programy výpočtu technicko- ekonomických ukazatelů (včetně softwaru k technické dokumentaci-pro její tvorbu, úpravu)</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řešící problematiku hlubinného dobývání nerostných surovin</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zařízení k ražení dobývání</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určené pro kontrolu složení důl. ovzduší, rozboru výsledků a další vybavení související s BOZP.</w:t>
      </w:r>
    </w:p>
    <w:p>
      <w:pPr>
        <w:keepNext w:val="0"/>
        <w:keepLines w:val="0"/>
        <w:framePr w:w="10766" w:h="489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48"/>
        <w:rPr>
          <w:rStyle w:val="C3"/>
          <w:rtl w:val="0"/>
        </w:rPr>
      </w:pPr>
    </w:p>
    <w:p>
      <w:pPr>
        <w:pStyle w:val="P35"/>
        <w:framePr w:w="10710" w:h="340" w:hRule="exact" w:wrap="none" w:vAnchor="page" w:hAnchor="margin" w:x="28" w:y="13848"/>
        <w:rPr>
          <w:rStyle w:val="C25"/>
          <w:rtl w:val="0"/>
        </w:rPr>
      </w:pPr>
      <w:r>
        <w:rPr>
          <w:rStyle w:val="C25"/>
          <w:rtl w:val="0"/>
        </w:rPr>
        <w:t>Doba přípravy na zkoušku</w:t>
      </w:r>
    </w:p>
    <w:p>
      <w:pPr>
        <w:keepNext w:val="0"/>
        <w:keepLines w:val="0"/>
        <w:framePr w:w="10766" w:h="806" w:hRule="exact" w:wrap="none" w:vAnchor="page" w:hAnchor="margin" w:x="0" w:y="141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přípravy důlní výroby, 27.10.2026 3:47:41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přípravy důlní výroby, 27.10.2026 3:47:41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přípravy důlní výroby, 27.10.2026 3:47:41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C35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4EB9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