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FC4FDA" Type="http://schemas.openxmlformats.org/officeDocument/2006/relationships/officeDocument" Target="/word/document.xml" /><Relationship Id="coreR54FC4FDA" Type="http://schemas.openxmlformats.org/package/2006/relationships/metadata/core-properties" Target="/docProps/core.xml" /><Relationship Id="customR54FC4F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metalurg / technička metalurgyně (kód: 21-061-M)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hutní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metalurgických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a řízení metalurgických postupů a technických podmínek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metalurgických podkladů pro marketingovou a obchodní činnost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28.10.2026 22:18:45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http://katalog.nsp.cz/zdravotniPodminky.aspx?id_jp=30950).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jsou závislé na různém typu hutní výroby (kritéria hodnocení 1a, 1b, 3a), autorizovaná osoba sdělí a nejpozději spolu s pozvánkou zašle uchazeči popis typu hutního provozu a upřesnění ověřovaných kritérií.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28.10.2026 22:18:45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Evraz Vítkovice Steel,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Machinery Group,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28.10.2026 22:18:45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