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18DF74" Type="http://schemas.openxmlformats.org/officeDocument/2006/relationships/officeDocument" Target="/word/document.xml" /><Relationship Id="coreR6B18DF74" Type="http://schemas.openxmlformats.org/package/2006/relationships/metadata/core-properties" Target="/docProps/core.xml" /><Relationship Id="customR6B18DF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 pro DTP studio (kód: 34-030-N)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 pro DTP studio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Pořizování snímků pro potřeby DTP studia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jednodušších výtvarných, grafických nebo fotoreportérských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správy barev v grafických aplikacích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kalibrace monitoru a kontroly kopírovacích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snímku s využitím grafických programů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snímku pro další zpracování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Archivování obrazových materiálů a digitálních dat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Zhotovení kontrolního náhledu snímku na inkoustové, termosublimační nebo laserové tiskárně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povinné dokumentace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Prezentace prací v závislosti na konkrétní situaci při jednání se zákazníkem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pro DTP studio, 1.11.2026 3:00:42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v průběhu zkoušky probíhá formou písemné práce, která obsahuje okruhy ze všech odborných kompetencí obsažených v této profesní kvalifikaci.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pro DTP studio, 1.11.2026 3:00:42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Komora fotografických živností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Slezská univerzita v Opavě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Institut tvůrčí fotografie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Photography &amp; Visual Media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Polygrafická Praha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fotografická, filmová a televizní, o.p.s., Skalsko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Kráčmar foto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Deník Sport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Společenstvo drobného podnikání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služeb Praha 9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XERTECa.s.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pro DTP studio, 1.11.2026 3:00:42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