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539CB" Type="http://schemas.openxmlformats.org/officeDocument/2006/relationships/officeDocument" Target="/word/document.xml" /><Relationship Id="coreR585539CB" Type="http://schemas.openxmlformats.org/package/2006/relationships/metadata/core-properties" Target="/docProps/core.xml" /><Relationship Id="customR58553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31.10.2026 11:09:09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 V případě zařazení testu musí mít autorizovaná osoba připraven soubor min. 300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15 případových studií ověřujících kompetence dle navržených kritérií hodnocení. Případová studie bude aplikována u těchto kompetencí: Aplikace pracovněprávní legislativy, Tvorba pracovněprávních dokumentů, Poradenství v oblasti pracovněprávní uvnitř společnosti, Obsluha kancelářských programů a personálního informačního systému.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jednu případovou studii, kterou zpracuje a odprezentuje výsledky. Autorizovaná osoba má možnost pokládat doplňující otázky.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uchazečů nemůže být použit pouze test, případové studie pro ověření vyjmenovaných kompetencí jsou nezbytné.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je realizováno formou obhajoby postupu v rámci zpracování a prezentace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31.10.2026 11:09:09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Devro,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31.10.2026 11:09:09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