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75ABA9" Type="http://schemas.openxmlformats.org/officeDocument/2006/relationships/officeDocument" Target="/word/document.xml" /><Relationship Id="coreR7775ABA9" Type="http://schemas.openxmlformats.org/package/2006/relationships/metadata/core-properties" Target="/docProps/core.xml" /><Relationship Id="customR7775AB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výroby krytokořenného sadebního materiálu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bezpečnostních předpisů a pracovních postupů v školkařské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sběru semen a plodů lesních dřevin, získávání osiva lesních dřevin a jeho ošetřování, ukládání, macerace, stratifikace a skladování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zavlažování v lesních školkách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činností v lesních školkách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Organizace školkařských prací pomocí ručního nářadí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Organizace setí, školkování, péče o semenáčky a sazenice, jejich ošetřování, vyzvedávání sazenic v lesních školkách, expedice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07.05.2014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27.10.2026 5:19:28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použít jako součást způsobu písemného ověření kritéria test.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úspěšné splnění testu se považuje 70 % správně zodpovězených otázek s tím, že pro každé kritérium musí být správně zodpovězeno alespoň 50 % otázek. 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27.10.2026 5:19:28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27.10.2026 5:19:28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