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9A5FD" Type="http://schemas.openxmlformats.org/officeDocument/2006/relationships/officeDocument" Target="/word/document.xml" /><Relationship Id="coreR3859A5FD" Type="http://schemas.openxmlformats.org/package/2006/relationships/metadata/core-properties" Target="/docProps/core.xml" /><Relationship Id="customR3859A5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podkladů pro tvorbu lesních hospodářských plánů" se v kritériu g) legislativou k tvorbě OPRL rozumí lesní zákon č. 289/1995 Sb. a vyhláška č. 83/1996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budou v kritériu a) předmětem poznávání následující dřeviny: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jasan, akát, bříza, třešeň, olše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vyjmenované dřeviny. Za úspěšné splnění tohoto kritéria se považuje poznání 100 % předložených dřevin.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v kritériu f) se legislativou k lesnímu hospodářskému plánování rozumí lesní zákon č. 289/1995 Sb. a vyhláška č. 84/1996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