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B629B" Type="http://schemas.openxmlformats.org/officeDocument/2006/relationships/officeDocument" Target="/word/document.xml" /><Relationship Id="coreR55B629B" Type="http://schemas.openxmlformats.org/package/2006/relationships/metadata/core-properties" Target="/docProps/core.xml" /><Relationship Id="customR55B62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vrtů pro tepelná čerpadla, 14.9.2026 9:58:06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navrhnout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požadavky na bezpečnost a ochranu zdraví při práci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a 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14.9.2026 9:58:06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vrtu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kaly odčerpáním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 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navrhnout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Popsat postup odstraňování usazenin a kalů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Ošetřování a údržba strojů a zařízení pro studnařské práce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zásady BOZP se zařízeními pro studnařské práce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831" w:hRule="exact" w:wrap="none" w:vAnchor="page" w:hAnchor="margin" w:x="45" w:y="10911"/>
        <w:rPr>
          <w:rStyle w:val="C3"/>
          <w:rtl w:val="0"/>
        </w:rPr>
      </w:pPr>
    </w:p>
    <w:p>
      <w:pPr>
        <w:pStyle w:val="P17"/>
        <w:framePr w:w="6658" w:h="704" w:hRule="exact" w:wrap="none" w:vAnchor="page" w:hAnchor="margin" w:x="71" w:y="10967"/>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0911"/>
        <w:rPr>
          <w:rStyle w:val="C3"/>
          <w:rtl w:val="0"/>
        </w:rPr>
      </w:pPr>
    </w:p>
    <w:p>
      <w:pPr>
        <w:pStyle w:val="P31"/>
        <w:framePr w:w="3839" w:h="704" w:hRule="exact" w:wrap="none" w:vAnchor="page" w:hAnchor="margin" w:x="6856" w:y="10967"/>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14.9.2026 9:58:06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vrtů pro tepelná čerpadla, 14.9.2026 9:58:06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36-137-H Studnař vrtů pro tepelná čerpadla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vrtů pro tepelná čerpadla, 14.9.2026 9:58:06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plášť vrtu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zhotovení vrtů: vrtná souprava se spalovacím motorem, vrtná souprava s pohonem elektromotorem, kalová čerpadla, transformátor a osvětlení s nízkým napětím, vysokotlaký čisticí stroj</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 pažnice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pažnice plastové a kovové pro výztuhu vrtů pro tepelná čerpadla.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vrtů pro tepelná čerpadla, 14.9.2026 9:58:06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vrtů pro tepelná čerpadla, 14.9.2026 9:58:06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5B93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8BD4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