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1BA712" Type="http://schemas.openxmlformats.org/officeDocument/2006/relationships/officeDocument" Target="/word/document.xml" /><Relationship Id="coreR81BA712" Type="http://schemas.openxmlformats.org/package/2006/relationships/metadata/core-properties" Target="/docProps/core.xml" /><Relationship Id="customR81BA7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Studnař vrtaných studní (kód: 36-136-H)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Studnař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stavbu vrtaných studní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vrtané studny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Zřizování vrtaných studní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izolací vrtaných studní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Čištění a dezinfekce vrtaných studní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Opravy nebo výměny hlavy vrtané studny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Rekonstrukce a oživování vrtaných studní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pro studnařské práce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vrtaných studní, 29.10.2026 1:37:43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"https://www.nsp.cz/jednotka-prace/studnar"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https://www.nsp.cz/jednotka-prace/studnar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vychází z předvedené znalosti technologických postupů, ze zručnosti při provádění pracovních úkonů a z výsledné kvality práce.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je potřeba zohlednit tato kritéria: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projektu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Schopnost pracovat se strojním zařízením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BOZP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Vliv prováděných úkonů na majetek a prostředí odběratele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k bezpečnému provádění všech úkonů, dodržování předpisů, ke kvalitě zhotoveného produktu i k časovému hledisku zvládání operací.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vrtaných studní, 29.10.2026 1:37:43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 VŠB - TU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STAMINA s. r. o.; VUT Brno, Fakulta stavební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vrtaných studní, 29.10.2026 1:37:43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