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AA0FD" Type="http://schemas.openxmlformats.org/officeDocument/2006/relationships/officeDocument" Target="/word/document.xml" /><Relationship Id="coreR170AA0FD" Type="http://schemas.openxmlformats.org/package/2006/relationships/metadata/core-properties" Target="/docProps/core.xml" /><Relationship Id="customR170AA0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Způsoby 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Způsoby 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provedení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 i) v kompetenci  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g11.D.1323  Navrhování a zásady provádění systémů větrání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klimatizace a chlazení pro klimatizaci autorizovaná osoba připraví šest zadaní jako podklad pro návrh vhodného systému větrání pro administrativní budovu, kino, sportovní halu, průmyslový provoz, podzemní garáže a plynovou kotelnu. Uchazeč navrhne systém větrání a vysvětlí zásady provádění u jedné zadané budovy.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i)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g11.D.1315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kanalizace, vodovodu, instalačních celků a zařizovacích předmětů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zadaní jako podklad pro návrh řešení při soustřeďování instalací, volbu zařizovacích předmětů a koordinaci instalací v: instalačních jádrech, instalačních chodbách, technických podlažích, instalačních kanálech, předstěnoých systémech vedení instalací. Uchazeč navrhne řešení při soustřeďování instalací pro jeden zadaný případ.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o., Fakulta stavební VUT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27.10.2026 2:47:09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