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EB26E" Type="http://schemas.openxmlformats.org/officeDocument/2006/relationships/officeDocument" Target="/word/document.xml" /><Relationship Id="coreR187EB26E" Type="http://schemas.openxmlformats.org/package/2006/relationships/metadata/core-properties" Target="/docProps/core.xml" /><Relationship Id="customR187EB2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Orientace v právních předpisech pro výkon podnikatelské činnosti</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Technik pro pozemní stavby, 31.7.2026 7:39:34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Vypracovat určenou část projektové dokumentace pro stavební povolení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účel modulové koordinace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požadavky na dispoziční a provozní řešení staveb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Uvést zásady zobrazování stavebních konstrukcí v projektové dokumentaci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obsah a účel technické zprávy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a 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Uvést základní požadavky pro bezbariérové užívání staveb</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Písemné a 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Vysvětlit požadavky na energeticky úspornou výstavbu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Písemné a ústní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547" w:hRule="exact" w:wrap="none" w:vAnchor="page" w:hAnchor="margin" w:x="28" w:y="7547"/>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194"/>
        <w:rPr>
          <w:rStyle w:val="C3"/>
          <w:rtl w:val="0"/>
        </w:rPr>
      </w:pPr>
    </w:p>
    <w:p>
      <w:pPr>
        <w:pStyle w:val="P25"/>
        <w:framePr w:w="6661" w:h="249" w:hRule="exact" w:wrap="none" w:vAnchor="page" w:hAnchor="margin" w:x="71" w:y="8265"/>
        <w:rPr>
          <w:rStyle w:val="C19"/>
          <w:rtl w:val="0"/>
        </w:rPr>
      </w:pPr>
      <w:r>
        <w:rPr>
          <w:rStyle w:val="C19"/>
          <w:rtl w:val="0"/>
        </w:rPr>
        <w:t>Kritéria hodnocení</w:t>
      </w:r>
    </w:p>
    <w:p>
      <w:pPr>
        <w:pStyle w:val="P26"/>
        <w:framePr w:w="3918" w:h="376" w:hRule="exact" w:wrap="none" w:vAnchor="page" w:hAnchor="margin" w:x="6803" w:y="8194"/>
        <w:rPr>
          <w:rStyle w:val="C3"/>
          <w:rtl w:val="0"/>
        </w:rPr>
      </w:pPr>
    </w:p>
    <w:p>
      <w:pPr>
        <w:pStyle w:val="P27"/>
        <w:framePr w:w="3836" w:h="249" w:hRule="exact" w:wrap="none" w:vAnchor="page" w:hAnchor="margin" w:x="6859" w:y="8265"/>
        <w:rPr>
          <w:rStyle w:val="C20"/>
          <w:rtl w:val="0"/>
        </w:rPr>
      </w:pPr>
      <w:r>
        <w:rPr>
          <w:rStyle w:val="C20"/>
          <w:rtl w:val="0"/>
        </w:rPr>
        <w:t>Způsoby ověření</w:t>
      </w:r>
    </w:p>
    <w:p>
      <w:pPr>
        <w:pStyle w:val="P12"/>
        <w:framePr w:w="6710" w:h="607" w:hRule="exact" w:wrap="none" w:vAnchor="page" w:hAnchor="margin" w:x="45" w:y="8570"/>
        <w:rPr>
          <w:rStyle w:val="C3"/>
          <w:rtl w:val="0"/>
        </w:rPr>
      </w:pPr>
    </w:p>
    <w:p>
      <w:pPr>
        <w:pStyle w:val="P13"/>
        <w:framePr w:w="6658" w:h="480" w:hRule="exact" w:wrap="none" w:vAnchor="page" w:hAnchor="margin" w:x="71" w:y="8626"/>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8570"/>
        <w:rPr>
          <w:rStyle w:val="C3"/>
          <w:rtl w:val="0"/>
        </w:rPr>
      </w:pPr>
    </w:p>
    <w:p>
      <w:pPr>
        <w:pStyle w:val="P29"/>
        <w:framePr w:w="3839" w:h="480" w:hRule="exact" w:wrap="none" w:vAnchor="page" w:hAnchor="margin" w:x="6856" w:y="8626"/>
        <w:rPr>
          <w:rStyle w:val="C21"/>
          <w:rtl w:val="0"/>
        </w:rPr>
      </w:pPr>
      <w:r>
        <w:rPr>
          <w:rStyle w:val="C21"/>
          <w:rtl w:val="0"/>
        </w:rPr>
        <w:t>Písemné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Písemné a ústní ověření</w:t>
      </w:r>
    </w:p>
    <w:p>
      <w:pPr>
        <w:pStyle w:val="P12"/>
        <w:framePr w:w="6710" w:h="376" w:hRule="exact" w:wrap="none" w:vAnchor="page" w:hAnchor="margin" w:x="45" w:y="9784"/>
        <w:rPr>
          <w:rStyle w:val="C3"/>
          <w:rtl w:val="0"/>
        </w:rPr>
      </w:pPr>
    </w:p>
    <w:p>
      <w:pPr>
        <w:pStyle w:val="P13"/>
        <w:framePr w:w="6658" w:h="249" w:hRule="exact" w:wrap="none" w:vAnchor="page" w:hAnchor="margin" w:x="71" w:y="9840"/>
        <w:rPr>
          <w:rStyle w:val="C11"/>
          <w:rtl w:val="0"/>
        </w:rPr>
      </w:pPr>
      <w:r>
        <w:rPr>
          <w:rStyle w:val="C11"/>
          <w:rtl w:val="0"/>
        </w:rPr>
        <w:t>c) Popsat a vysvětlit postup výstavby konstrukčních systémů kombinovaných</w:t>
      </w:r>
    </w:p>
    <w:p>
      <w:pPr>
        <w:pStyle w:val="P28"/>
        <w:framePr w:w="3921" w:h="376" w:hRule="exact" w:wrap="none" w:vAnchor="page" w:hAnchor="margin" w:x="6800" w:y="9784"/>
        <w:rPr>
          <w:rStyle w:val="C3"/>
          <w:rtl w:val="0"/>
        </w:rPr>
      </w:pPr>
    </w:p>
    <w:p>
      <w:pPr>
        <w:pStyle w:val="P29"/>
        <w:framePr w:w="3839" w:h="249" w:hRule="exact" w:wrap="none" w:vAnchor="page" w:hAnchor="margin" w:x="6856" w:y="9840"/>
        <w:rPr>
          <w:rStyle w:val="C21"/>
          <w:rtl w:val="0"/>
        </w:rPr>
      </w:pPr>
      <w:r>
        <w:rPr>
          <w:rStyle w:val="C21"/>
          <w:rtl w:val="0"/>
        </w:rPr>
        <w:t>Písemné a ústní ověření</w:t>
      </w:r>
    </w:p>
    <w:p>
      <w:pPr>
        <w:pStyle w:val="P16"/>
        <w:framePr w:w="6710" w:h="376" w:hRule="exact" w:wrap="none" w:vAnchor="page" w:hAnchor="margin" w:x="45" w:y="10160"/>
        <w:rPr>
          <w:rStyle w:val="C3"/>
          <w:rtl w:val="0"/>
        </w:rPr>
      </w:pPr>
    </w:p>
    <w:p>
      <w:pPr>
        <w:pStyle w:val="P17"/>
        <w:framePr w:w="6658" w:h="249" w:hRule="exact" w:wrap="none" w:vAnchor="page" w:hAnchor="margin" w:x="71" w:y="10216"/>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160"/>
        <w:rPr>
          <w:rStyle w:val="C3"/>
          <w:rtl w:val="0"/>
        </w:rPr>
      </w:pPr>
    </w:p>
    <w:p>
      <w:pPr>
        <w:pStyle w:val="P31"/>
        <w:framePr w:w="3839" w:h="249" w:hRule="exact" w:wrap="none" w:vAnchor="page" w:hAnchor="margin" w:x="6856" w:y="10216"/>
        <w:rPr>
          <w:rStyle w:val="C22"/>
          <w:rtl w:val="0"/>
        </w:rPr>
      </w:pPr>
      <w:r>
        <w:rPr>
          <w:rStyle w:val="C22"/>
          <w:rtl w:val="0"/>
        </w:rPr>
        <w:t>Písemné a ústní ověření</w:t>
      </w:r>
    </w:p>
    <w:p>
      <w:pPr>
        <w:pStyle w:val="P32"/>
        <w:framePr w:w="10710" w:h="248" w:hRule="exact" w:wrap="none" w:vAnchor="page" w:hAnchor="margin" w:x="28" w:y="10650"/>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1525"/>
        <w:rPr>
          <w:rStyle w:val="C3"/>
          <w:rtl w:val="0"/>
        </w:rPr>
      </w:pPr>
    </w:p>
    <w:p>
      <w:pPr>
        <w:pStyle w:val="P25"/>
        <w:framePr w:w="6661" w:h="249" w:hRule="exact" w:wrap="none" w:vAnchor="page" w:hAnchor="margin" w:x="71" w:y="11596"/>
        <w:rPr>
          <w:rStyle w:val="C19"/>
          <w:rtl w:val="0"/>
        </w:rPr>
      </w:pPr>
      <w:r>
        <w:rPr>
          <w:rStyle w:val="C19"/>
          <w:rtl w:val="0"/>
        </w:rPr>
        <w:t>Kritéria hodnocení</w:t>
      </w:r>
    </w:p>
    <w:p>
      <w:pPr>
        <w:pStyle w:val="P26"/>
        <w:framePr w:w="3918" w:h="376" w:hRule="exact" w:wrap="none" w:vAnchor="page" w:hAnchor="margin" w:x="6803" w:y="11525"/>
        <w:rPr>
          <w:rStyle w:val="C3"/>
          <w:rtl w:val="0"/>
        </w:rPr>
      </w:pPr>
    </w:p>
    <w:p>
      <w:pPr>
        <w:pStyle w:val="P27"/>
        <w:framePr w:w="3836" w:h="249" w:hRule="exact" w:wrap="none" w:vAnchor="page" w:hAnchor="margin" w:x="6859" w:y="11596"/>
        <w:rPr>
          <w:rStyle w:val="C20"/>
          <w:rtl w:val="0"/>
        </w:rPr>
      </w:pPr>
      <w:r>
        <w:rPr>
          <w:rStyle w:val="C20"/>
          <w:rtl w:val="0"/>
        </w:rPr>
        <w:t>Způsoby ověření</w:t>
      </w:r>
    </w:p>
    <w:p>
      <w:pPr>
        <w:pStyle w:val="P12"/>
        <w:framePr w:w="6710" w:h="376" w:hRule="exact" w:wrap="none" w:vAnchor="page" w:hAnchor="margin" w:x="45" w:y="11901"/>
        <w:rPr>
          <w:rStyle w:val="C3"/>
          <w:rtl w:val="0"/>
        </w:rPr>
      </w:pPr>
    </w:p>
    <w:p>
      <w:pPr>
        <w:pStyle w:val="P13"/>
        <w:framePr w:w="6658" w:h="249" w:hRule="exact" w:wrap="none" w:vAnchor="page" w:hAnchor="margin" w:x="71" w:y="11957"/>
        <w:rPr>
          <w:rStyle w:val="C11"/>
          <w:rtl w:val="0"/>
        </w:rPr>
      </w:pPr>
      <w:r>
        <w:rPr>
          <w:rStyle w:val="C11"/>
          <w:rtl w:val="0"/>
        </w:rPr>
        <w:t>a) Popsat rozdělení základových půd</w:t>
      </w:r>
    </w:p>
    <w:p>
      <w:pPr>
        <w:pStyle w:val="P28"/>
        <w:framePr w:w="3921" w:h="376" w:hRule="exact" w:wrap="none" w:vAnchor="page" w:hAnchor="margin" w:x="6800" w:y="11901"/>
        <w:rPr>
          <w:rStyle w:val="C3"/>
          <w:rtl w:val="0"/>
        </w:rPr>
      </w:pPr>
    </w:p>
    <w:p>
      <w:pPr>
        <w:pStyle w:val="P29"/>
        <w:framePr w:w="3839" w:h="249" w:hRule="exact" w:wrap="none" w:vAnchor="page" w:hAnchor="margin" w:x="6856" w:y="11957"/>
        <w:rPr>
          <w:rStyle w:val="C21"/>
          <w:rtl w:val="0"/>
        </w:rPr>
      </w:pPr>
      <w:r>
        <w:rPr>
          <w:rStyle w:val="C21"/>
          <w:rtl w:val="0"/>
        </w:rPr>
        <w:t>Ústní ověření</w:t>
      </w:r>
    </w:p>
    <w:p>
      <w:pPr>
        <w:pStyle w:val="P16"/>
        <w:framePr w:w="6710" w:h="376" w:hRule="exact" w:wrap="none" w:vAnchor="page" w:hAnchor="margin" w:x="45" w:y="12277"/>
        <w:rPr>
          <w:rStyle w:val="C3"/>
          <w:rtl w:val="0"/>
        </w:rPr>
      </w:pPr>
    </w:p>
    <w:p>
      <w:pPr>
        <w:pStyle w:val="P17"/>
        <w:framePr w:w="6658" w:h="249" w:hRule="exact" w:wrap="none" w:vAnchor="page" w:hAnchor="margin" w:x="71" w:y="12333"/>
        <w:rPr>
          <w:rStyle w:val="C13"/>
          <w:rtl w:val="0"/>
        </w:rPr>
      </w:pPr>
      <w:r>
        <w:rPr>
          <w:rStyle w:val="C13"/>
          <w:rtl w:val="0"/>
        </w:rPr>
        <w:t>b) Uvést metody zpevňování základových půd</w:t>
      </w:r>
    </w:p>
    <w:p>
      <w:pPr>
        <w:pStyle w:val="P30"/>
        <w:framePr w:w="3921" w:h="376" w:hRule="exact" w:wrap="none" w:vAnchor="page" w:hAnchor="margin" w:x="6800" w:y="12277"/>
        <w:rPr>
          <w:rStyle w:val="C3"/>
          <w:rtl w:val="0"/>
        </w:rPr>
      </w:pPr>
    </w:p>
    <w:p>
      <w:pPr>
        <w:pStyle w:val="P31"/>
        <w:framePr w:w="3839" w:h="249" w:hRule="exact" w:wrap="none" w:vAnchor="page" w:hAnchor="margin" w:x="6856" w:y="12333"/>
        <w:rPr>
          <w:rStyle w:val="C22"/>
          <w:rtl w:val="0"/>
        </w:rPr>
      </w:pPr>
      <w:r>
        <w:rPr>
          <w:rStyle w:val="C22"/>
          <w:rtl w:val="0"/>
        </w:rPr>
        <w:t>Písemné a ústní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Popsat způsoby provádění výkopových prací a pažení</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Písemné a 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Popsat požadavky na bezpečnost při provádění zemních prací</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Písemné a ústní ověření</w:t>
      </w:r>
    </w:p>
    <w:p>
      <w:pPr>
        <w:pStyle w:val="P12"/>
        <w:framePr w:w="6710" w:h="376" w:hRule="exact" w:wrap="none" w:vAnchor="page" w:hAnchor="margin" w:x="45" w:y="13406"/>
        <w:rPr>
          <w:rStyle w:val="C3"/>
          <w:rtl w:val="0"/>
        </w:rPr>
      </w:pPr>
    </w:p>
    <w:p>
      <w:pPr>
        <w:pStyle w:val="P13"/>
        <w:framePr w:w="6658" w:h="249" w:hRule="exact" w:wrap="none" w:vAnchor="page" w:hAnchor="margin" w:x="71" w:y="13462"/>
        <w:rPr>
          <w:rStyle w:val="C11"/>
          <w:rtl w:val="0"/>
        </w:rPr>
      </w:pPr>
      <w:r>
        <w:rPr>
          <w:rStyle w:val="C11"/>
          <w:rtl w:val="0"/>
        </w:rPr>
        <w:t>e) Popsat postupy navrhování a provádění plošných a hlubinných základů</w:t>
      </w:r>
    </w:p>
    <w:p>
      <w:pPr>
        <w:pStyle w:val="P28"/>
        <w:framePr w:w="3921" w:h="376" w:hRule="exact" w:wrap="none" w:vAnchor="page" w:hAnchor="margin" w:x="6800" w:y="13406"/>
        <w:rPr>
          <w:rStyle w:val="C3"/>
          <w:rtl w:val="0"/>
        </w:rPr>
      </w:pPr>
    </w:p>
    <w:p>
      <w:pPr>
        <w:pStyle w:val="P29"/>
        <w:framePr w:w="3839" w:h="249"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7:39:34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Písemné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Zdůvodnit vytváření dilatačních celků a uvést zásady</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Písemné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Navrhování a zásady provádění podzemních částí staveb</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a vysvětlit zásady konstrukčního návrhu podzemní části budov</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Uvést materiály vhodné na ochranu podzemních částí budov</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7:39:34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postup návrhu konstrukční části schodišť, ramp a výtahů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návrh a provádění říms, balkonů, arkýřů a lodžií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Navrhování a zásady provádění zastřešení budov</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Uvést druhy střešních konstrukcí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Písemné a ústní ověření</w:t>
      </w:r>
    </w:p>
    <w:p>
      <w:pPr>
        <w:pStyle w:val="P16"/>
        <w:framePr w:w="6710" w:h="831" w:hRule="exact" w:wrap="none" w:vAnchor="page" w:hAnchor="margin" w:x="45" w:y="6884"/>
        <w:rPr>
          <w:rStyle w:val="C3"/>
          <w:rtl w:val="0"/>
        </w:rPr>
      </w:pPr>
    </w:p>
    <w:p>
      <w:pPr>
        <w:pStyle w:val="P17"/>
        <w:framePr w:w="6658" w:h="704" w:hRule="exact" w:wrap="none" w:vAnchor="page" w:hAnchor="margin" w:x="71" w:y="6940"/>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6884"/>
        <w:rPr>
          <w:rStyle w:val="C3"/>
          <w:rtl w:val="0"/>
        </w:rPr>
      </w:pPr>
    </w:p>
    <w:p>
      <w:pPr>
        <w:pStyle w:val="P31"/>
        <w:framePr w:w="3839" w:h="704" w:hRule="exact" w:wrap="none" w:vAnchor="page" w:hAnchor="margin" w:x="6856" w:y="6940"/>
        <w:rPr>
          <w:rStyle w:val="C22"/>
          <w:rtl w:val="0"/>
        </w:rPr>
      </w:pPr>
      <w:r>
        <w:rPr>
          <w:rStyle w:val="C22"/>
          <w:rtl w:val="0"/>
        </w:rPr>
        <w:t>Praktické předvedení s ústním vysvětlením</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c) Popsat volbu střešních krytin</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Písemné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Písemné a 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e) Uvést způsoby odvodnění střechy</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a ústní ověření</w:t>
      </w:r>
    </w:p>
    <w:p>
      <w:pPr>
        <w:pStyle w:val="P16"/>
        <w:framePr w:w="6710" w:h="376" w:hRule="exact" w:wrap="none" w:vAnchor="page" w:hAnchor="margin" w:x="45" w:y="8844"/>
        <w:rPr>
          <w:rStyle w:val="C3"/>
          <w:rtl w:val="0"/>
        </w:rPr>
      </w:pPr>
    </w:p>
    <w:p>
      <w:pPr>
        <w:pStyle w:val="P17"/>
        <w:framePr w:w="6658" w:h="249" w:hRule="exact" w:wrap="none" w:vAnchor="page" w:hAnchor="margin" w:x="71" w:y="8900"/>
        <w:rPr>
          <w:rStyle w:val="C13"/>
          <w:rtl w:val="0"/>
        </w:rPr>
      </w:pPr>
      <w:r>
        <w:rPr>
          <w:rStyle w:val="C13"/>
          <w:rtl w:val="0"/>
        </w:rPr>
        <w:t>f) Uvést způsoby zastřešení budov s velkým rozpětím</w:t>
      </w:r>
    </w:p>
    <w:p>
      <w:pPr>
        <w:pStyle w:val="P30"/>
        <w:framePr w:w="3921" w:h="376" w:hRule="exact" w:wrap="none" w:vAnchor="page" w:hAnchor="margin" w:x="6800" w:y="8844"/>
        <w:rPr>
          <w:rStyle w:val="C3"/>
          <w:rtl w:val="0"/>
        </w:rPr>
      </w:pPr>
    </w:p>
    <w:p>
      <w:pPr>
        <w:pStyle w:val="P31"/>
        <w:framePr w:w="3839" w:h="249" w:hRule="exact" w:wrap="none" w:vAnchor="page" w:hAnchor="margin" w:x="6856" w:y="8900"/>
        <w:rPr>
          <w:rStyle w:val="C22"/>
          <w:rtl w:val="0"/>
        </w:rPr>
      </w:pPr>
      <w:r>
        <w:rPr>
          <w:rStyle w:val="C22"/>
          <w:rtl w:val="0"/>
        </w:rPr>
        <w:t>Písemné a ústní ověření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g) Popsat závady plochých a šikmých střech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Písemné a 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Navrhování a zásady provádění dřevěných krovů</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Popsat tvary šikmých střech a druhy krovových soustav</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Písemné a ústní ověření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Popsat prvky krovu a uvést jejich funkci</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Písemné a ústní ověření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 s ústním vysvětlením</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Písemné a ústní ověření</w:t>
      </w:r>
    </w:p>
    <w:p>
      <w:pPr>
        <w:pStyle w:val="P12"/>
        <w:framePr w:w="6710" w:h="376" w:hRule="exact" w:wrap="none" w:vAnchor="page" w:hAnchor="margin" w:x="45" w:y="12466"/>
        <w:rPr>
          <w:rStyle w:val="C3"/>
          <w:rtl w:val="0"/>
        </w:rPr>
      </w:pPr>
    </w:p>
    <w:p>
      <w:pPr>
        <w:pStyle w:val="P13"/>
        <w:framePr w:w="6658" w:h="249" w:hRule="exact" w:wrap="none" w:vAnchor="page" w:hAnchor="margin" w:x="71" w:y="12522"/>
        <w:rPr>
          <w:rStyle w:val="C11"/>
          <w:rtl w:val="0"/>
        </w:rPr>
      </w:pPr>
      <w:r>
        <w:rPr>
          <w:rStyle w:val="C11"/>
          <w:rtl w:val="0"/>
        </w:rPr>
        <w:t>e) Popsat druhy tesařských spojů</w:t>
      </w:r>
    </w:p>
    <w:p>
      <w:pPr>
        <w:pStyle w:val="P28"/>
        <w:framePr w:w="3921" w:h="376" w:hRule="exact" w:wrap="none" w:vAnchor="page" w:hAnchor="margin" w:x="6800" w:y="12466"/>
        <w:rPr>
          <w:rStyle w:val="C3"/>
          <w:rtl w:val="0"/>
        </w:rPr>
      </w:pPr>
    </w:p>
    <w:p>
      <w:pPr>
        <w:pStyle w:val="P29"/>
        <w:framePr w:w="3839" w:h="249" w:hRule="exact" w:wrap="none" w:vAnchor="page" w:hAnchor="margin" w:x="6856" w:y="12522"/>
        <w:rPr>
          <w:rStyle w:val="C21"/>
          <w:rtl w:val="0"/>
        </w:rPr>
      </w:pPr>
      <w:r>
        <w:rPr>
          <w:rStyle w:val="C21"/>
          <w:rtl w:val="0"/>
        </w:rPr>
        <w:t>Písemné a ústní ověření</w:t>
      </w:r>
    </w:p>
    <w:p>
      <w:pPr>
        <w:pStyle w:val="P16"/>
        <w:framePr w:w="6710" w:h="376" w:hRule="exact" w:wrap="none" w:vAnchor="page" w:hAnchor="margin" w:x="45" w:y="12842"/>
        <w:rPr>
          <w:rStyle w:val="C3"/>
          <w:rtl w:val="0"/>
        </w:rPr>
      </w:pPr>
    </w:p>
    <w:p>
      <w:pPr>
        <w:pStyle w:val="P17"/>
        <w:framePr w:w="6658" w:h="249" w:hRule="exact" w:wrap="none" w:vAnchor="page" w:hAnchor="margin" w:x="71" w:y="12898"/>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2842"/>
        <w:rPr>
          <w:rStyle w:val="C3"/>
          <w:rtl w:val="0"/>
        </w:rPr>
      </w:pPr>
    </w:p>
    <w:p>
      <w:pPr>
        <w:pStyle w:val="P31"/>
        <w:framePr w:w="3839" w:h="249" w:hRule="exact" w:wrap="none" w:vAnchor="page" w:hAnchor="margin" w:x="6856" w:y="12898"/>
        <w:rPr>
          <w:rStyle w:val="C22"/>
          <w:rtl w:val="0"/>
        </w:rPr>
      </w:pPr>
      <w:r>
        <w:rPr>
          <w:rStyle w:val="C22"/>
          <w:rtl w:val="0"/>
        </w:rPr>
        <w:t>Písemné a ústní ověření</w:t>
      </w:r>
    </w:p>
    <w:p>
      <w:pPr>
        <w:pStyle w:val="P32"/>
        <w:framePr w:w="10710" w:h="248" w:hRule="exact" w:wrap="none" w:vAnchor="page" w:hAnchor="margin" w:x="28" w:y="13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7:39:34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Písemné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Písemné a 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1"/>
        <w:rPr>
          <w:rStyle w:val="C18"/>
          <w:rtl w:val="0"/>
        </w:rPr>
      </w:pPr>
      <w:r>
        <w:rPr>
          <w:rStyle w:val="C18"/>
          <w:rtl w:val="0"/>
        </w:rPr>
        <w:t>Navrhování a postupy montáže příček a hygienických jader</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376" w:hRule="exact" w:wrap="none" w:vAnchor="page" w:hAnchor="margin" w:x="45" w:y="13186"/>
        <w:rPr>
          <w:rStyle w:val="C3"/>
          <w:rtl w:val="0"/>
        </w:rPr>
      </w:pPr>
    </w:p>
    <w:p>
      <w:pPr>
        <w:pStyle w:val="P13"/>
        <w:framePr w:w="6658" w:h="249" w:hRule="exact" w:wrap="none" w:vAnchor="page" w:hAnchor="margin" w:x="71" w:y="13242"/>
        <w:rPr>
          <w:rStyle w:val="C11"/>
          <w:rtl w:val="0"/>
        </w:rPr>
      </w:pPr>
      <w:r>
        <w:rPr>
          <w:rStyle w:val="C11"/>
          <w:rtl w:val="0"/>
        </w:rPr>
        <w:t>a) Popsat rozdělení příček podle použití, konstrukce a materiálu</w:t>
      </w:r>
    </w:p>
    <w:p>
      <w:pPr>
        <w:pStyle w:val="P28"/>
        <w:framePr w:w="3921" w:h="376" w:hRule="exact" w:wrap="none" w:vAnchor="page" w:hAnchor="margin" w:x="6800" w:y="13186"/>
        <w:rPr>
          <w:rStyle w:val="C3"/>
          <w:rtl w:val="0"/>
        </w:rPr>
      </w:pPr>
    </w:p>
    <w:p>
      <w:pPr>
        <w:pStyle w:val="P29"/>
        <w:framePr w:w="3839" w:h="249" w:hRule="exact" w:wrap="none" w:vAnchor="page" w:hAnchor="margin" w:x="6856" w:y="13242"/>
        <w:rPr>
          <w:rStyle w:val="C21"/>
          <w:rtl w:val="0"/>
        </w:rPr>
      </w:pPr>
      <w:r>
        <w:rPr>
          <w:rStyle w:val="C21"/>
          <w:rtl w:val="0"/>
        </w:rPr>
        <w:t>Písemné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Popsat konstrukce hygienických jader, jejich výstavbu a údržbu</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Písemné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Popsat možnosti výměny bytových jader v panelových domech</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Písemné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7:39:34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s ústním vysvětlením</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Písemné a 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Písemné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Písemné a 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Písemné a 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Písemné a 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Písemné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3"/>
        <w:framePr w:w="10710" w:h="340" w:hRule="exact" w:wrap="none" w:vAnchor="page" w:hAnchor="margin" w:x="28" w:y="12892"/>
        <w:rPr>
          <w:rStyle w:val="C18"/>
          <w:rtl w:val="0"/>
        </w:rPr>
      </w:pPr>
      <w:r>
        <w:rPr>
          <w:rStyle w:val="C18"/>
          <w:rtl w:val="0"/>
        </w:rPr>
        <w:t>Navrhování a zásady provádění staveb garáží, stání a parkovišť</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376" w:hRule="exact" w:wrap="none" w:vAnchor="page" w:hAnchor="margin" w:x="45" w:y="13708"/>
        <w:rPr>
          <w:rStyle w:val="C3"/>
          <w:rtl w:val="0"/>
        </w:rPr>
      </w:pPr>
    </w:p>
    <w:p>
      <w:pPr>
        <w:pStyle w:val="P13"/>
        <w:framePr w:w="6658" w:h="249" w:hRule="exact" w:wrap="none" w:vAnchor="page" w:hAnchor="margin" w:x="71" w:y="13764"/>
        <w:rPr>
          <w:rStyle w:val="C11"/>
          <w:rtl w:val="0"/>
        </w:rPr>
      </w:pPr>
      <w:r>
        <w:rPr>
          <w:rStyle w:val="C11"/>
          <w:rtl w:val="0"/>
        </w:rPr>
        <w:t>a) Popsat typologické požadavky na stavbu garáží, stání a parkovišť</w:t>
      </w:r>
    </w:p>
    <w:p>
      <w:pPr>
        <w:pStyle w:val="P28"/>
        <w:framePr w:w="3921" w:h="376" w:hRule="exact" w:wrap="none" w:vAnchor="page" w:hAnchor="margin" w:x="6800" w:y="13708"/>
        <w:rPr>
          <w:rStyle w:val="C3"/>
          <w:rtl w:val="0"/>
        </w:rPr>
      </w:pPr>
    </w:p>
    <w:p>
      <w:pPr>
        <w:pStyle w:val="P29"/>
        <w:framePr w:w="3839" w:h="249" w:hRule="exact" w:wrap="none" w:vAnchor="page" w:hAnchor="margin" w:x="6856" w:y="13764"/>
        <w:rPr>
          <w:rStyle w:val="C21"/>
          <w:rtl w:val="0"/>
        </w:rPr>
      </w:pPr>
      <w:r>
        <w:rPr>
          <w:rStyle w:val="C21"/>
          <w:rtl w:val="0"/>
        </w:rPr>
        <w:t>Písemné a ústní ověření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Popsat hygienické požadavky na stavbu garáží, stání a parkovišť</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Písemné a ústní ověření</w:t>
      </w:r>
    </w:p>
    <w:p>
      <w:pPr>
        <w:pStyle w:val="P12"/>
        <w:framePr w:w="6710" w:h="376" w:hRule="exact" w:wrap="none" w:vAnchor="page" w:hAnchor="margin" w:x="45" w:y="14460"/>
        <w:rPr>
          <w:rStyle w:val="C3"/>
          <w:rtl w:val="0"/>
        </w:rPr>
      </w:pPr>
    </w:p>
    <w:p>
      <w:pPr>
        <w:pStyle w:val="P13"/>
        <w:framePr w:w="6658" w:h="249" w:hRule="exact" w:wrap="none" w:vAnchor="page" w:hAnchor="margin" w:x="71" w:y="14516"/>
        <w:rPr>
          <w:rStyle w:val="C11"/>
          <w:rtl w:val="0"/>
        </w:rPr>
      </w:pPr>
      <w:r>
        <w:rPr>
          <w:rStyle w:val="C11"/>
          <w:rtl w:val="0"/>
        </w:rPr>
        <w:t>c) Popsat požadavky na garážová vrata</w:t>
      </w:r>
    </w:p>
    <w:p>
      <w:pPr>
        <w:pStyle w:val="P28"/>
        <w:framePr w:w="3921" w:h="376" w:hRule="exact" w:wrap="none" w:vAnchor="page" w:hAnchor="margin" w:x="6800" w:y="14460"/>
        <w:rPr>
          <w:rStyle w:val="C3"/>
          <w:rtl w:val="0"/>
        </w:rPr>
      </w:pPr>
    </w:p>
    <w:p>
      <w:pPr>
        <w:pStyle w:val="P29"/>
        <w:framePr w:w="3839" w:h="249" w:hRule="exact" w:wrap="none" w:vAnchor="page" w:hAnchor="margin" w:x="6856" w:y="14516"/>
        <w:rPr>
          <w:rStyle w:val="C21"/>
          <w:rtl w:val="0"/>
        </w:rPr>
      </w:pPr>
      <w:r>
        <w:rPr>
          <w:rStyle w:val="C21"/>
          <w:rtl w:val="0"/>
        </w:rPr>
        <w:t>Písemné a ústní ověření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d) Návrh odvodnění garáží, stání a parkovišť</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Písemné a ústní ověření</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7:39:34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požární ochrany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požární riziko a stupeň požární bezpečnosti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Uplatnění znalostí stavební fyziky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Prokázat znalosti tepelné ochrany budov</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Prokázat znalosti ochrany proti hluku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znalosti požadavků na vnitřní prostředí budov</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Prokázat znalosti z oblasti požadavků na osvětlení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právních předpisech pro výkon podnikatelské činnosti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požadavky na vedení technické a provozní dokumentace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záznam do stavebního deníku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ústním vysvětlením</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Písemné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Uvést zásady vedení zaměstnanců a způsoby jejich odměňování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7:39:34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technik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maturitou nebo vyšší odborné vzdělání v příbuzném oboru vzdělání v oblasti stavebnictví.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je harmonizován s RVP pro obor vzdělání 36-47-M/01 Stavebnictví - zaměření Pozemní stavby.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Technik pro pozemní stavby byly rovněž začleněny požadavky, které ČKAIT vyžaduje pro rozdílovou zkoušku podle § 8 odst. 7 písm. a) autorizačního zákona, ve znění pozdějších předpisů http://www.ckait.cz/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pozemní stavby, 31.7.2026 7:39:34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stavebnictví - zaměření pozemní stavby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projektování nebo v řídicích činnostech v oblasti stavební výroby nebo ve funkci učitele praktického vyučování v oblasti stavebnictví,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nebo v řídicích činnostech v oblasti stavební výroby nebo ve funkci učitele praktického vyučování v oblasti stavebnictví,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nebo v řídicích činnostech v oblasti stavební výroby nebo ve funkci učitele odborných předmětů v oblasti stavebnictví,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pozemní stavby, 31.7.2026 7:39:34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přípravy na zkoušku</w:t>
      </w:r>
    </w:p>
    <w:p>
      <w:pPr>
        <w:keepNext w:val="0"/>
        <w:keepLines w:val="0"/>
        <w:framePr w:w="10766" w:h="103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879"/>
        <w:rPr>
          <w:rStyle w:val="C3"/>
          <w:rtl w:val="0"/>
        </w:rPr>
      </w:pPr>
    </w:p>
    <w:p>
      <w:pPr>
        <w:pStyle w:val="P35"/>
        <w:framePr w:w="10710" w:h="340" w:hRule="exact" w:wrap="none" w:vAnchor="page" w:hAnchor="margin" w:x="28" w:y="11879"/>
        <w:rPr>
          <w:rStyle w:val="C25"/>
          <w:rtl w:val="0"/>
        </w:rPr>
      </w:pPr>
      <w:r>
        <w:rPr>
          <w:rStyle w:val="C25"/>
          <w:rtl w:val="0"/>
        </w:rPr>
        <w:t>Doba pro vykonání zkoušky</w:t>
      </w:r>
    </w:p>
    <w:p>
      <w:pPr>
        <w:keepNext w:val="0"/>
        <w:keepLines w:val="0"/>
        <w:framePr w:w="10766" w:h="806" w:hRule="exact" w:wrap="none" w:vAnchor="page" w:hAnchor="margin" w:x="0" w:y="12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pozemní stavby, 31.7.2026 7:39:34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architektury a Fakulta stavební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pStyle w:val="P21"/>
        <w:framePr w:w="7654" w:h="331" w:hRule="exact" w:wrap="none" w:vAnchor="page" w:hAnchor="margin" w:x="28" w:y="15940"/>
        <w:rPr>
          <w:rStyle w:val="C16"/>
          <w:rtl w:val="0"/>
        </w:rPr>
      </w:pPr>
      <w:r>
        <w:rPr>
          <w:rStyle w:val="C16"/>
          <w:rtl w:val="0"/>
        </w:rPr>
        <w:t>Technik pro pozemní stavby, 31.7.2026 7:39:34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B9E5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3018A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