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1E968C" Type="http://schemas.openxmlformats.org/officeDocument/2006/relationships/officeDocument" Target="/word/document.xml" /><Relationship Id="coreRA1E968C" Type="http://schemas.openxmlformats.org/package/2006/relationships/metadata/core-properties" Target="/docProps/core.xml" /><Relationship Id="customRA1E96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hranař (kód: 28-076-H)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hranováním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hranař, 2.8.2026 0:10:34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http://katalog.nsp.cz/karta_p.aspx?id_jp=77&amp;kod_sm1=35).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Broušení výrobků ze skla hranováním, kritérium d) autorizovaná osoba určí uchazeči počet kusů skleněných výrobků k opracování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(série alespoň 2 kusů).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hranař, 2.8.2026 0:10:34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 – Bohemia, a. s., Poděbrady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Egermann, s. r. o., Nový Bor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TGK – technika, sklo a umění,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a Střední odborná škola, Nový Bor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hranař, 2.8.2026 0:10:34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