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479C6" Type="http://schemas.openxmlformats.org/officeDocument/2006/relationships/officeDocument" Target="/word/document.xml" /><Relationship Id="coreR14B479C6" Type="http://schemas.openxmlformats.org/package/2006/relationships/metadata/core-properties" Target="/docProps/core.xml" /><Relationship Id="customR14B479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15.6.2026 22:24:56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obou kritérií hodnocení odborné kompetence Určování materiálů a technik používaných v ruční krajce autorizovaná osoba určí, co bude předmětem praktického předvedení a ústního ověření u zkoušky. Jedná se o určování dle jednotlivých kritérií z 10 vzorků nití (4 vzorky tenkých nití - len, bavlna, hedvábí, nitě s kovovým efektem, 6 vzorků silných nití – vlna, bavlna, lýko, příze PES, nitě s drátem) a 5 vzorků paličkované krajky, 5 vzorků šité krajky, 5 vzorků krajky pletené na rámu.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ruční krajku dle vlastního návrhu zvolenými technikami v souladu s požadavky autorizované osoby.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15.6.2026 22:24:56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Dana Mašková – Vzdělávací spolek uměleckých řemesel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Hlavačková – Vzdělávací spolek uměleckých řemesel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SRŘaUŘ, Rudolfinea, o. s., člen HK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15.6.2026 22:24:56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