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874AE" Type="http://schemas.openxmlformats.org/officeDocument/2006/relationships/officeDocument" Target="/word/document.xml" /><Relationship Id="coreRFE874AE" Type="http://schemas.openxmlformats.org/package/2006/relationships/metadata/core-properties" Target="/docProps/core.xml" /><Relationship Id="customRFE87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 strojírenská technička projektantka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4996"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23-106-M Strojírenský technik projektant / strojírenská technička projektantka a střední vzdělání s maturitní zkouškou a alespoň 5 let odborné praxe v oblasti projektování strojírenské výroby.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17" w:hRule="exact" w:wrap="none" w:vAnchor="page" w:hAnchor="margin" w:x="0" w:y="9755"/>
        <w:rPr>
          <w:rStyle w:val="C3"/>
          <w:rtl w:val="0"/>
        </w:rPr>
      </w:pPr>
    </w:p>
    <w:p>
      <w:pPr>
        <w:pStyle w:val="P35"/>
        <w:framePr w:w="10710" w:h="340" w:hRule="exact" w:wrap="none" w:vAnchor="page" w:hAnchor="margin" w:x="28" w:y="9755"/>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100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10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 strojírenská technička projektantka, 29.10.2026 0:00:42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8B7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9B2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