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A4AACD" Type="http://schemas.openxmlformats.org/officeDocument/2006/relationships/officeDocument" Target="/word/document.xml" /><Relationship Id="coreR2BA4AACD" Type="http://schemas.openxmlformats.org/package/2006/relationships/metadata/core-properties" Target="/docProps/core.xml" /><Relationship Id="customR2BA4AA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Webdesignér – interakční designér / webdesignérka – interakční designérka (kód: 18-012-R)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Webový interakční designer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03.06.2023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Webdesignér – interakční designér / webdesignérka – interakční designérka, 1.11.2026 1:05:02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Peška Rostislav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Stavbařů 573/2, 35301 Mariánské Lázně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Webdesignér – interakční designér / webdesignérka – interakční designérka, 1.11.2026 1:05:02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