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318F6" Type="http://schemas.openxmlformats.org/officeDocument/2006/relationships/officeDocument" Target="/word/document.xml" /><Relationship Id="coreRFE318F6" Type="http://schemas.openxmlformats.org/package/2006/relationships/metadata/core-properties" Target="/docProps/core.xml" /><Relationship Id="customRFE318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kompetencí: Orientace v technických parametrech vanových agregátů a pánvových pecí, kritérium a), b); Kontrola a dodržování technologických postupů tavení, kritérium a), b), c); Řízení technologického úseku sklářské výroby, kritérium a), b), c); Koordinace průběhu výrobních činností při tavení skla, kritérium b) autorizovaná osoba určí typ tavicího agregátu, ke kterému se budou vztahovat zadané úkoly.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Vedení pracovní dokumentace tavení, kritérium a), b) autorizovaná osoba určí typ tavby, ke které se budou vztahovat zadané úkoly.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sklářské výroby autorizovaná osoba připraví modelovou situaci z výrobního procesu v návaznosti na ověřovanou kompetenci.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