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D309C0" Type="http://schemas.openxmlformats.org/officeDocument/2006/relationships/officeDocument" Target="/word/document.xml" /><Relationship Id="coreR64D309C0" Type="http://schemas.openxmlformats.org/package/2006/relationships/metadata/core-properties" Target="/docProps/core.xml" /><Relationship Id="customR64D309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26.04.2016 do: 19.08.2020</w:t>
      </w:r>
    </w:p>
    <w:p>
      <w:pPr>
        <w:pStyle w:val="P21"/>
        <w:framePr w:w="7654" w:h="331" w:hRule="exact" w:wrap="none" w:vAnchor="page" w:hAnchor="margin" w:x="28" w:y="15940"/>
        <w:rPr>
          <w:rStyle w:val="C16"/>
          <w:rtl w:val="0"/>
        </w:rPr>
      </w:pPr>
      <w:r>
        <w:rPr>
          <w:rStyle w:val="C16"/>
          <w:rtl w:val="0"/>
        </w:rPr>
        <w:t>Chemický technik pro povrchové úpravy materiálů, 11.9.2026 20:08:13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49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realizuje zkouška) k bezpečnosti práce, požární ochraně a ochraně životního prostředí v souladu s legislativou a platnými normami.</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povrchové úpravy materiálů, 11.9.2026 20:08:13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obchodně technická škola Zlín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povrchové úpravy</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Synpo, akciová společnost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povrchové úpravy materiálů, 11.9.2026 20:08:13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164C8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