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10AF9" Type="http://schemas.openxmlformats.org/officeDocument/2006/relationships/officeDocument" Target="/word/document.xml" /><Relationship Id="coreR4BE10AF9" Type="http://schemas.openxmlformats.org/package/2006/relationships/metadata/core-properties" Target="/docProps/core.xml" /><Relationship Id="customR4BE10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22.9.2026 21:44:38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jazyky; dále profesní životopis, který slouží autorizované osobě pouze pro přehled profesní praxe a není určen k hodnocení uchazeče.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zkoušejícímu modelový kulturní projekt pro ověření kritérií dle tohoto standardu, a to v termínu nejméně 15 pracovních dnů před termínem zkoušky.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Kulturním projektem pro účely této zkoušky se rozumí pořádání jednorázové kulturní akce, festivalu nebo produkce kulturního zařízení.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Celkové vedení a organizace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vedení kulturního projektu, kritérium a)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vedení týmu produkce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základního marketingu kulturního projektu, kritérium a) a c)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probíhá prezentace zpracovaného projektu formou obhajoby.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formou vylosovaných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kompetenci Orientace v právních předpisech v oblasti produkce kulturních projektů, a to pro kritérium b) minimálně 20 otázek a pro kritéria c) a d) minimálně po 10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 si ke každému kritériu vylosuje 3 otázky.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pokyn, která kritéria je třeba u zkoušky splnit).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 k ověřování a hodnocenÍ kompetence Marketing kulturního projektu, kritérium c):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vytvoří jednoduchý návrh pomocí běžně dostupných prostředků na počítači (Mac nebo PC s Microsoftem).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22.9.2026 21:44:38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kulturu,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– Divadelní ústav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 (FAMU),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22.9.2026 21:44:38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