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54D60" Type="http://schemas.openxmlformats.org/officeDocument/2006/relationships/officeDocument" Target="/word/document.xml" /><Relationship Id="coreR45854D60" Type="http://schemas.openxmlformats.org/package/2006/relationships/metadata/core-properties" Target="/docProps/core.xml" /><Relationship Id="customR45854D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 v rámci následujících činností: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tvarovky sedadla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tvarovky opěradla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tvarovky sedadla židle bez zálisku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libovolné tvarovky lepením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přesnost, bezpečnost, kvalitu procesu, tak na výsledek pracovní činnosti, tzn. na kvalitu zhotovované tvarovky, zejména vzhled a funkčnost. 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znalost chemikálií a jejich vlastností majících vliv na kvalitu a požadované vlastnosti tvarovky, včetně možnosti dosažení samozhášenlivosti, na znalost rizika zpracovávaných chemikálií, na znalost vlivu atmosférických podmínek na proces vypěňování.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7F6C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