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302AF" Type="http://schemas.openxmlformats.org/officeDocument/2006/relationships/officeDocument" Target="/word/document.xml" /><Relationship Id="coreR548302AF" Type="http://schemas.openxmlformats.org/package/2006/relationships/metadata/core-properties" Target="/docProps/core.xml" /><Relationship Id="customR548302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klasickou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nábytku čalouněného klasickou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čalounění nábytku klasickou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čalounění klasickou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27.10.2026 3:06:30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čalounění odpočivného křesla "ušák" s tlačnými pružinami - očalouní sedadlo a další odborné kompetence předvede na připravených dílcích/modelech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opravu, rekonstrukci čalounění sedáku čalouněné židle bez pružin, se základem s tvárnicí nebo dvojím hranováním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kvalitní dílce a vzorky čalouněného nábytku, na kterých uchazeč předvede všechny odborné kompetence a dovednosti požadované při čalounění klasickou technologií. V případě, že je zhotovován nebo opravován výrobek, který některé z požadovaných kompetencí a dovedností neobsahuje, je třeba, aby uchazeč na vzorcích materiálů předvedl ruční šití a prošívání, vázání pružin hlavní a vedlejší vazbou a další dovednosti, které jsou v profesní kvalifikaci obsaženy.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 znalosti čalounických materiálů a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27.10.2026 3:06:30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-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27.10.2026 3:06:30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0516E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