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75CA53" Type="http://schemas.openxmlformats.org/officeDocument/2006/relationships/officeDocument" Target="/word/document.xml" /><Relationship Id="coreR6875CA53" Type="http://schemas.openxmlformats.org/package/2006/relationships/metadata/core-properties" Target="/docProps/core.xml" /><Relationship Id="customR6875CA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/ samostatná knihovnice v knihovně pro děti (kód: 72-021-R)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/ samostatná knihovnice v knihovně pro děti, 28.4.2026 20:03:29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Samostatný knihovník (kód: 72-99-R/03)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Samostatný knihovník / samostatná knihovnice v knihovně pro děti (kód: 72-021-R)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Samostatný knihovník akvizitér / samostatná knihovnice akvizitérka (kód: 72-011-R)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Samostatný knihovník katalogizátor / samostatná knihovnice katalogizátorka (kód: 72-008-R)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Samostatný knihovník metodik / samostatná knihovnice metodička (kód: 72-020-R)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Samostatný knihovník pracovník / samostatná knihovnice pracovnice správy fondů (kód: 72-012-R)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Samostatný knihovník správce / samostatná knihovnice správkyně digitální knihovny (kód: 72-018-R)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Samostatný referenční knihovník / samostatná referenční knihovnice (kód: 72-009-R)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Samostatný systémový knihovník / samostatná systémová knihovnice (kód: 72-019-R)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Samostatný knihovník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/ samostatná knihovnice v knihovně pro děti, 28.4.2026 20:03:29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