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87FC31" Type="http://schemas.openxmlformats.org/officeDocument/2006/relationships/officeDocument" Target="/word/document.xml" /><Relationship Id="coreR4487FC31" Type="http://schemas.openxmlformats.org/package/2006/relationships/metadata/core-properties" Target="/docProps/core.xml" /><Relationship Id="customR4487FC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Muzejní edukátor/edukátorka (kód: 82-041-T)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Muzejní edukátor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aktuálním muzejně edukačním dění v domácím i zahraničním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edukační koncepce a strategie muzea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pedagogicko-psychologických pojmech vztahujích se k muzejní edukační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muzejní edukace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a zpracování edukačního programu muzea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a použití vhodných didaktických metod a forem muzejní edukace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Prezentace muzejní edukační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profesionálního jednání a komunikace v muzejní edukační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Muzejní edukátor/edukátorka, 28.4.2026 19:58:31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aktuálním muzejně edukačním dění v domácím i zahraničním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 muzejnictví v České republice v kontextu světové muzejní kultury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přehled nejvýznamnějších muzeí v České republice a ve světě a stručně charakterizovat jejich zaměření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nejvýznamnější muzea v daném regionu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Objasnit současné muzejně edukační trendy v České republice a ve světě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Objasnit význam ochrany kulturního dědictví a rolí paměťových institucí v českém prostředí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postavení muzejní edukace v rámci prezentační role muzeí a galerií</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Stanovení edukační koncepce a strategie muzea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Vysvětlit edukační možnosti daného muzea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Vypracovat návrh edukační koncepce a strategie daného muzea formou tezí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Objasnit vlastní návrh edukační koncepce a strategie daného muzea dle zpracovaných tezí</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pedagogicko-psychologických pojmech vztahujích se k muzejní edukační činnosti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831" w:hRule="exact" w:wrap="none" w:vAnchor="page" w:hAnchor="margin" w:x="45" w:y="11026"/>
        <w:rPr>
          <w:rStyle w:val="C3"/>
          <w:rtl w:val="0"/>
        </w:rPr>
      </w:pPr>
    </w:p>
    <w:p>
      <w:pPr>
        <w:pStyle w:val="P13"/>
        <w:framePr w:w="6658" w:h="704" w:hRule="exact" w:wrap="none" w:vAnchor="page" w:hAnchor="margin" w:x="71" w:y="11082"/>
        <w:rPr>
          <w:rStyle w:val="C11"/>
          <w:rtl w:val="0"/>
        </w:rPr>
      </w:pPr>
      <w:r>
        <w:rPr>
          <w:rStyle w:val="C11"/>
          <w:rtl w:val="0"/>
        </w:rPr>
        <w:t>a) Charakterizovat specifika jednotlivých cílových skupin z hlediska psychického vývoje a zdravotního stavu a jejich vliv na zajištění vzdělávacích aktivit</w:t>
      </w:r>
    </w:p>
    <w:p>
      <w:pPr>
        <w:pStyle w:val="P28"/>
        <w:framePr w:w="3921" w:h="831" w:hRule="exact" w:wrap="none" w:vAnchor="page" w:hAnchor="margin" w:x="6800" w:y="11026"/>
        <w:rPr>
          <w:rStyle w:val="C3"/>
          <w:rtl w:val="0"/>
        </w:rPr>
      </w:pPr>
    </w:p>
    <w:p>
      <w:pPr>
        <w:pStyle w:val="P29"/>
        <w:framePr w:w="3839" w:h="704" w:hRule="exact" w:wrap="none" w:vAnchor="page" w:hAnchor="margin" w:x="6856" w:y="11082"/>
        <w:rPr>
          <w:rStyle w:val="C21"/>
          <w:rtl w:val="0"/>
        </w:rPr>
      </w:pPr>
      <w:r>
        <w:rPr>
          <w:rStyle w:val="C21"/>
          <w:rtl w:val="0"/>
        </w:rPr>
        <w:t>Ústní ověření</w:t>
      </w:r>
    </w:p>
    <w:p>
      <w:pPr>
        <w:pStyle w:val="P16"/>
        <w:framePr w:w="6710" w:h="831" w:hRule="exact" w:wrap="none" w:vAnchor="page" w:hAnchor="margin" w:x="45" w:y="11857"/>
        <w:rPr>
          <w:rStyle w:val="C3"/>
          <w:rtl w:val="0"/>
        </w:rPr>
      </w:pPr>
    </w:p>
    <w:p>
      <w:pPr>
        <w:pStyle w:val="P17"/>
        <w:framePr w:w="6658" w:h="704" w:hRule="exact" w:wrap="none" w:vAnchor="page" w:hAnchor="margin" w:x="71" w:y="11913"/>
        <w:rPr>
          <w:rStyle w:val="C13"/>
          <w:rtl w:val="0"/>
        </w:rPr>
      </w:pPr>
      <w:r>
        <w:rPr>
          <w:rStyle w:val="C13"/>
          <w:rtl w:val="0"/>
        </w:rPr>
        <w:t xml:space="preserve">b) Charakterizovat význam celoživotního vzdělávání.  Vysvětlit pojmy: formální, neformální a informální vzdělávání; zájmové vzdělávání, edutainment (zábavné vzdělávání)</w:t>
      </w:r>
    </w:p>
    <w:p>
      <w:pPr>
        <w:pStyle w:val="P30"/>
        <w:framePr w:w="3921" w:h="831" w:hRule="exact" w:wrap="none" w:vAnchor="page" w:hAnchor="margin" w:x="6800" w:y="11857"/>
        <w:rPr>
          <w:rStyle w:val="C3"/>
          <w:rtl w:val="0"/>
        </w:rPr>
      </w:pPr>
    </w:p>
    <w:p>
      <w:pPr>
        <w:pStyle w:val="P31"/>
        <w:framePr w:w="3839" w:h="704" w:hRule="exact" w:wrap="none" w:vAnchor="page" w:hAnchor="margin" w:x="6856" w:y="11913"/>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c) Popsat stupně vzdělávání (předškolní, základní, střední, vyšší odborné, vysokoškolské)</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28.4.2026 19:58:31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muzejní edukace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a rozlišit vzdělávací cíle edukační činnosti pro skupiny návštěvníků (např. pro děti, veřejnost, základní školy, pro střední školy a specifické skupiny)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vzdělávací cíl a obsah konkrétního vzdělávacího programu (projektu) na určité téma pro stanovenou cílovou skupinu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Navržení a zpracování edukačního programu muzea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Zpracovat konkrétní vzdělávací projekt na základě stanoveného vzdělávacího cíle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Navrhnout k vzdělávacímu projektu nástroje pro evaluaci jeho efektivity</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Výběr a použití vhodných didaktických metod a forem muzejní edukace</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Předvést a vysvětlit použití metod a forem muzejní edukace</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Praktické předvedení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Předvést a objasnit využití prostředků informačních a komunikačních technologií pro muzejní edukaci s uvedením příkladů</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c) Charakterizovat přínos a možnosti využití interaktivních prostředků v edukační činnosti</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Prezentace muzejní edukační činnosti</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Prezentovat a obhájit připravený projekt</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Praktické předvedení a ústní ověření</w:t>
      </w:r>
    </w:p>
    <w:p>
      <w:pPr>
        <w:pStyle w:val="P16"/>
        <w:framePr w:w="6710" w:h="831" w:hRule="exact" w:wrap="none" w:vAnchor="page" w:hAnchor="margin" w:x="45" w:y="11451"/>
        <w:rPr>
          <w:rStyle w:val="C3"/>
          <w:rtl w:val="0"/>
        </w:rPr>
      </w:pPr>
    </w:p>
    <w:p>
      <w:pPr>
        <w:pStyle w:val="P17"/>
        <w:framePr w:w="6658" w:h="704" w:hRule="exact" w:wrap="none" w:vAnchor="page" w:hAnchor="margin" w:x="71" w:y="11507"/>
        <w:rPr>
          <w:rStyle w:val="C13"/>
          <w:rtl w:val="0"/>
        </w:rPr>
      </w:pPr>
      <w:r>
        <w:rPr>
          <w:rStyle w:val="C13"/>
          <w:rtl w:val="0"/>
        </w:rPr>
        <w:t>b) Navrhnout tematiku odborného přednáškového cyklu pro veřejnost s využitím sbírkového fondu muzea a s využitím interaktivních prvků (formou tezí)</w:t>
      </w:r>
    </w:p>
    <w:p>
      <w:pPr>
        <w:pStyle w:val="P30"/>
        <w:framePr w:w="3921" w:h="831" w:hRule="exact" w:wrap="none" w:vAnchor="page" w:hAnchor="margin" w:x="6800" w:y="11451"/>
        <w:rPr>
          <w:rStyle w:val="C3"/>
          <w:rtl w:val="0"/>
        </w:rPr>
      </w:pPr>
    </w:p>
    <w:p>
      <w:pPr>
        <w:pStyle w:val="P31"/>
        <w:framePr w:w="3839" w:h="704"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c) Vypracovat nabídku aktivit pro konkrétní typ školy s využitím fondu muzea</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d) Vytvořit a předvést prezentaci daného muzea (nebo muzejního objektu nebo sbírky)</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e) Uvést příklady pomůcek a doplňkových materiálů v muzejní edukaci</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28.4.2026 19:58:31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profesionálního jednání a komunikace v muzejní edukační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komunikaci s ohledem na typ klienta a cílové skupiny a vysvětlit zásady této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Uplatňovat komunikační a řečnické dovednosti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vysvětlit komunikaci s problémovými návštěvníky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 zajištění bezpečnosti návštěvníků muzejní edukace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28.4.2026 19:58:31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profesní životopis a rovněž doloží znalost anglického jazyka na minimální úrovni jazykových znalostí B1 dle Společného evropského referenčního rámce pro jazyky.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1"/>
          <w:caps w:val="0"/>
          <w:strike w:val="0"/>
          <w:noProof w:val="0"/>
          <w:vanish w:val="0"/>
          <w:color w:val="auto"/>
          <w:sz w:val="20"/>
          <w:u w:val="none"/>
          <w:shd w:val="clear" w:color="auto" w:fill="auto"/>
          <w:vertAlign w:val="baseline"/>
          <w:lang/>
        </w:rPr>
        <w:t>Tato profesní kvalifikace je zaměřena jednak na edukační činnost muzeí, tak i na edukační činnost muzeí umění (galerií).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v předstihu po vzájemné dohodě konkrétní pokyny 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a to v termínu 25 pracovních dnů před termínem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odevzdá nejpozději 5 pracovních dní před termínem zkoušky zpracovaný vzdělávací projekt a další podklady podle výše uvedených kompetencí; tyto zašle na adresu autorizované osoby 1x v tištěné podobě a zároveň elektronicky.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aktuálním muzejně edukačním dění v domácím i zahraničním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je za daný region považován region, ve kterém se nachází autorizovaná osoba.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určí po dohodě s uchazečem konkrétní muzeum. Pro kritérium hodnocení b) uchazeč vypracuje návrh edukační koncepce a strategie daného muzea formou tezí v předstihu před konáním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pedagogicko-psychologických pojmech vztahujících se k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uchazeč vysvětlí základní rysy psychologického vývoje dětí předškolního a mladšího školního věku, dospívajících, dospělých, seniorů; taktéž v případě sociálních a etnických skupin ve společnosti. Na příkladech objasní vliv zdravotního stavu nebo zdravotního hendikepu na přípravu a zajištění aktivit.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kompetence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bude vymezeno zpracování vzdělávacího projektu. Autorizovaná osoba určí v předstihu po dohodě s uchazečem konkrétní téma vzdělávacího projektu a cílovou skupinu, pro kterou bude zpracován vzdělávací projekt. Projekt bude zaměřen tematicky, např. regionálně, oborově nebo zájmově; cílovou skupinou se rozumí např. děti, veřejnost, základní školy, střední školy.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stanoví v předstihu rozsah a formální zpracování vzdělávacího projektu. Projekt bude obsahovat vymezení cílů, obsahu, metod a prostředků a doplňujících materiálů v min. rozsahu 4 normostrany strojopisu + obrazová příloha.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Výběr a použití vhodných didaktických metod a forem muzejní edukace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kritéria hodnocení a), b) bude ověřena při prezentaci vlastního projektu uchazeče.</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kritéria hodnocení b), c), d) zpracuje uchazeč v předstihu před konáním zkoušky veškeré podklady; jejich tematika a rozsah bude upřesněn v předstihu po dohodě s autorizovanou osobou. Podklady pro kritéria hodnocení b), c) budou zpracovány formou tezí. Pro kritérium hodnocení d) bude zpracována prezentace pro předvedení v délce 10-15 minut.</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využití znalostí a dovedností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profesionálního jednání a komunikace v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probíhá praktické předvedení a obhajoba zpracovaného vzdělávacího projektu a dalších prací v rámci tohoto hodnoticího standardu; kritérium hodnocení c) je zaměřeno na řešení situace např. s nespokojenými návštěvníky s výkladem průvodce, s hlučnými a vyrušujícími klienty, dále s projevy nepřiměřeného chování vůči kustodům a průvodcům, řešení odpovědí na písemné stížnosti, dále vracení vstupného.</w:t>
      </w:r>
    </w:p>
    <w:p>
      <w:pPr>
        <w:pStyle w:val="P21"/>
        <w:framePr w:w="7654" w:h="331" w:hRule="exact" w:wrap="none" w:vAnchor="page" w:hAnchor="margin" w:x="28" w:y="15940"/>
        <w:rPr>
          <w:rStyle w:val="C16"/>
          <w:rtl w:val="0"/>
        </w:rPr>
      </w:pPr>
      <w:r>
        <w:rPr>
          <w:rStyle w:val="C16"/>
          <w:rtl w:val="0"/>
        </w:rPr>
        <w:t>Muzejní edukátor/edukátorka, 28.4.2026 19:58:31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2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muzeologii nebo příbuzné obory a alespoň 5 let odborné praxe v oblasti muzejní edukační činnosti, nebo řízení kulturní instituce, nebo ve funkci učitele odborných předmětů v oblasti muzejní edukační činnosti, nebo arts managementu, z toho minimálně jeden rok v období posledních dvou let před podáním žádosti o udělení autorizace.</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oblasti muzejní edukační činnosti, z toho minimálně jeden rok v období posledních dvou let před podáním žádosti o udělení autorizace.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Muzejní edukátor/edukátorka, 28.4.2026 19:58:31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zkoušky musí mít autorizovaná osoba k dispozici zkušební místnost a následující vybavení:</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základním softwarem (počítač nebo notebook s připojením na Internet, aplikace MS Office)</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pomůcky a vybavení pro prezentaci</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88"/>
        <w:rPr>
          <w:rStyle w:val="C3"/>
          <w:rtl w:val="0"/>
        </w:rPr>
      </w:pPr>
    </w:p>
    <w:p>
      <w:pPr>
        <w:pStyle w:val="P35"/>
        <w:framePr w:w="10710" w:h="340" w:hRule="exact" w:wrap="none" w:vAnchor="page" w:hAnchor="margin" w:x="28" w:y="5188"/>
        <w:rPr>
          <w:rStyle w:val="C25"/>
          <w:rtl w:val="0"/>
        </w:rPr>
      </w:pPr>
      <w:r>
        <w:rPr>
          <w:rStyle w:val="C25"/>
          <w:rtl w:val="0"/>
        </w:rPr>
        <w:t>Doba přípravy na zkoušku</w:t>
      </w:r>
    </w:p>
    <w:p>
      <w:pPr>
        <w:keepNext w:val="0"/>
        <w:keepLines w:val="0"/>
        <w:framePr w:w="10766" w:h="1036" w:hRule="exact" w:wrap="none" w:vAnchor="page" w:hAnchor="margin" w:x="0" w:y="5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60 minut. Do doby přípravy na zkoušku se nezapočítává doba na seznámení uchazeče s pracovištěm a s požadavky BOZP a PO.</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pro vykonání zkoušky</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Muzejní edukátor/edukátorka, 28.4.2026 19:58:31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Filosofické fakulty Masarykovy univerzity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zemské muzeumm</w:t>
      </w:r>
    </w:p>
    <w:p>
      <w:pPr>
        <w:pStyle w:val="P21"/>
        <w:framePr w:w="7654" w:h="331" w:hRule="exact" w:wrap="none" w:vAnchor="page" w:hAnchor="margin" w:x="28" w:y="15940"/>
        <w:rPr>
          <w:rStyle w:val="C16"/>
          <w:rtl w:val="0"/>
        </w:rPr>
      </w:pPr>
      <w:r>
        <w:rPr>
          <w:rStyle w:val="C16"/>
          <w:rtl w:val="0"/>
        </w:rPr>
        <w:t>Muzejní edukátor/edukátorka, 28.4.2026 19:58:31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9299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AE88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61E0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