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94D37D" Type="http://schemas.openxmlformats.org/officeDocument/2006/relationships/officeDocument" Target="/word/document.xml" /><Relationship Id="coreR1594D37D" Type="http://schemas.openxmlformats.org/package/2006/relationships/metadata/core-properties" Target="/docProps/core.xml" /><Relationship Id="customR1594D3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Výstavář/výstavářka (kód: 82-039-N)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Výstavář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speciálních právních normách ve vztahu k přípravě výstav a expozic</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činnostech při přípravě výstavy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finančního rozpočtu a nakládání s finančními prostředky určenými pro výstavu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realizačních činností výstavy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bezpečnosti v souvislosti s přípravou a konáním výstavy či expozice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Výstavář/výstavářka, 30.4.2026 17:41:16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speciálních právních normách ve vztahu k přípravě výstav a expozic</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Orientovat se v zákonu č. 122/2000 Sb., o ochraně sbírek muzejní povahy, včetně metodického pokynu Ministerstva kultury s ohledem na výstavní činnost a uvést dva paragrafy, které se dotýkají vystavování sbírkových předmětů</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Orientovat se v zákoně č. 134/2016 Sb., o zadávání veřejných zakázek, ve znění pozdějších předpisů, a souvisejících prováděcích předpisech (vyjmenovat typy veřejných zakázek podle limitu a charakterizovat je), s ohledem na realizaci výstav a expozic</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Orientovat se v zákoně č. 89/2012 Sb., občanský zákoník, ve znění pozdějších předpisů, to znamená konkrétně vysvětlit, za jaké situace a podmínek se uzavírají smlouvy o dílo, kupní smlouvy, smlouvy o nájmu, výpůjční smlouvy a příkazní smlouvy</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1280" w:hRule="exact" w:wrap="none" w:vAnchor="page" w:hAnchor="margin" w:x="45" w:y="6693"/>
        <w:rPr>
          <w:rStyle w:val="C3"/>
          <w:rtl w:val="0"/>
        </w:rPr>
      </w:pPr>
    </w:p>
    <w:p>
      <w:pPr>
        <w:pStyle w:val="P17"/>
        <w:framePr w:w="6658" w:h="1153" w:hRule="exact" w:wrap="none" w:vAnchor="page" w:hAnchor="margin" w:x="71" w:y="6749"/>
        <w:rPr>
          <w:rStyle w:val="C13"/>
          <w:rtl w:val="0"/>
        </w:rPr>
      </w:pPr>
      <w:r>
        <w:rPr>
          <w:rStyle w:val="C13"/>
          <w:rtl w:val="0"/>
        </w:rPr>
        <w:t>d) Orientovat se v zákoně č. 88/2016 Sb., o bezpečnosti a ochraně zdraví při práci, ve znění pozdějších předpisů, a souvisejících prováděcích předpisech a metodikách (objasnit základní požadavky na pracoviště a pracovní prostředí, organizaci práce a pracovní postupy, vyjmenovat základní pravidla bezpečnosti práce) s ohledem na realizaci výstav a expozic</w:t>
      </w:r>
    </w:p>
    <w:p>
      <w:pPr>
        <w:pStyle w:val="P30"/>
        <w:framePr w:w="3921" w:h="1280" w:hRule="exact" w:wrap="none" w:vAnchor="page" w:hAnchor="margin" w:x="6800" w:y="6693"/>
        <w:rPr>
          <w:rStyle w:val="C3"/>
          <w:rtl w:val="0"/>
        </w:rPr>
      </w:pPr>
    </w:p>
    <w:p>
      <w:pPr>
        <w:pStyle w:val="P31"/>
        <w:framePr w:w="3839" w:h="1153" w:hRule="exact" w:wrap="none" w:vAnchor="page" w:hAnchor="margin" w:x="6856" w:y="6749"/>
        <w:rPr>
          <w:rStyle w:val="C22"/>
          <w:rtl w:val="0"/>
        </w:rPr>
      </w:pPr>
      <w:r>
        <w:rPr>
          <w:rStyle w:val="C22"/>
          <w:rtl w:val="0"/>
        </w:rPr>
        <w:t>Ústní ověření</w:t>
      </w:r>
    </w:p>
    <w:p>
      <w:pPr>
        <w:pStyle w:val="P12"/>
        <w:framePr w:w="6710" w:h="831" w:hRule="exact" w:wrap="none" w:vAnchor="page" w:hAnchor="margin" w:x="45" w:y="7973"/>
        <w:rPr>
          <w:rStyle w:val="C3"/>
          <w:rtl w:val="0"/>
        </w:rPr>
      </w:pPr>
    </w:p>
    <w:p>
      <w:pPr>
        <w:pStyle w:val="P13"/>
        <w:framePr w:w="6658" w:h="704" w:hRule="exact" w:wrap="none" w:vAnchor="page" w:hAnchor="margin" w:x="71" w:y="8029"/>
        <w:rPr>
          <w:rStyle w:val="C11"/>
          <w:rtl w:val="0"/>
        </w:rPr>
      </w:pPr>
      <w:r>
        <w:rPr>
          <w:rStyle w:val="C11"/>
          <w:rtl w:val="0"/>
        </w:rPr>
        <w:t>e) Orientovat se v zákoně č. 121/2000 Sb., autorský zákon, tj. v částech, které mají dopad na realizaci výstav včetně zajišťování nezbytných reprodukcí děl podléhajících autorskému právu</w:t>
      </w:r>
    </w:p>
    <w:p>
      <w:pPr>
        <w:pStyle w:val="P28"/>
        <w:framePr w:w="3921" w:h="831" w:hRule="exact" w:wrap="none" w:vAnchor="page" w:hAnchor="margin" w:x="6800" w:y="7973"/>
        <w:rPr>
          <w:rStyle w:val="C3"/>
          <w:rtl w:val="0"/>
        </w:rPr>
      </w:pPr>
    </w:p>
    <w:p>
      <w:pPr>
        <w:pStyle w:val="P29"/>
        <w:framePr w:w="3839" w:h="704" w:hRule="exact" w:wrap="none" w:vAnchor="page" w:hAnchor="margin" w:x="6856" w:y="8029"/>
        <w:rPr>
          <w:rStyle w:val="C21"/>
          <w:rtl w:val="0"/>
        </w:rPr>
      </w:pPr>
      <w:r>
        <w:rPr>
          <w:rStyle w:val="C21"/>
          <w:rtl w:val="0"/>
        </w:rPr>
        <w:t>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3"/>
        <w:framePr w:w="10710" w:h="340" w:hRule="exact" w:wrap="none" w:vAnchor="page" w:hAnchor="margin" w:x="28" w:y="9353"/>
        <w:rPr>
          <w:rStyle w:val="C18"/>
          <w:rtl w:val="0"/>
        </w:rPr>
      </w:pPr>
      <w:r>
        <w:rPr>
          <w:rStyle w:val="C18"/>
          <w:rtl w:val="0"/>
        </w:rPr>
        <w:t>Orientace v činnostech při přípravě výstavy</w:t>
      </w:r>
    </w:p>
    <w:p>
      <w:pPr>
        <w:pStyle w:val="P24"/>
        <w:framePr w:w="6713" w:h="376" w:hRule="exact" w:wrap="none" w:vAnchor="page" w:hAnchor="margin" w:x="45" w:y="9792"/>
        <w:rPr>
          <w:rStyle w:val="C3"/>
          <w:rtl w:val="0"/>
        </w:rPr>
      </w:pPr>
    </w:p>
    <w:p>
      <w:pPr>
        <w:pStyle w:val="P25"/>
        <w:framePr w:w="6661" w:h="249" w:hRule="exact" w:wrap="none" w:vAnchor="page" w:hAnchor="margin" w:x="71" w:y="9863"/>
        <w:rPr>
          <w:rStyle w:val="C19"/>
          <w:rtl w:val="0"/>
        </w:rPr>
      </w:pPr>
      <w:r>
        <w:rPr>
          <w:rStyle w:val="C19"/>
          <w:rtl w:val="0"/>
        </w:rPr>
        <w:t>Kritéria hodnocení</w:t>
      </w:r>
    </w:p>
    <w:p>
      <w:pPr>
        <w:pStyle w:val="P26"/>
        <w:framePr w:w="3918" w:h="376" w:hRule="exact" w:wrap="none" w:vAnchor="page" w:hAnchor="margin" w:x="6803" w:y="9792"/>
        <w:rPr>
          <w:rStyle w:val="C3"/>
          <w:rtl w:val="0"/>
        </w:rPr>
      </w:pPr>
    </w:p>
    <w:p>
      <w:pPr>
        <w:pStyle w:val="P27"/>
        <w:framePr w:w="3836" w:h="249" w:hRule="exact" w:wrap="none" w:vAnchor="page" w:hAnchor="margin" w:x="6859" w:y="9863"/>
        <w:rPr>
          <w:rStyle w:val="C20"/>
          <w:rtl w:val="0"/>
        </w:rPr>
      </w:pPr>
      <w:r>
        <w:rPr>
          <w:rStyle w:val="C20"/>
          <w:rtl w:val="0"/>
        </w:rPr>
        <w:t>Způsoby ověření</w:t>
      </w:r>
    </w:p>
    <w:p>
      <w:pPr>
        <w:pStyle w:val="P12"/>
        <w:framePr w:w="6710" w:h="607" w:hRule="exact" w:wrap="none" w:vAnchor="page" w:hAnchor="margin" w:x="45" w:y="10168"/>
        <w:rPr>
          <w:rStyle w:val="C3"/>
          <w:rtl w:val="0"/>
        </w:rPr>
      </w:pPr>
    </w:p>
    <w:p>
      <w:pPr>
        <w:pStyle w:val="P13"/>
        <w:framePr w:w="6658" w:h="480" w:hRule="exact" w:wrap="none" w:vAnchor="page" w:hAnchor="margin" w:x="71" w:y="10224"/>
        <w:rPr>
          <w:rStyle w:val="C11"/>
          <w:rtl w:val="0"/>
        </w:rPr>
      </w:pPr>
      <w:r>
        <w:rPr>
          <w:rStyle w:val="C11"/>
          <w:rtl w:val="0"/>
        </w:rPr>
        <w:t>a) Vyjmenovat a charakterizovat základní metody a pravidla aranžování sbírkových předmětů podle jejich vlastností</w:t>
      </w:r>
    </w:p>
    <w:p>
      <w:pPr>
        <w:pStyle w:val="P28"/>
        <w:framePr w:w="3921" w:h="607" w:hRule="exact" w:wrap="none" w:vAnchor="page" w:hAnchor="margin" w:x="6800" w:y="10168"/>
        <w:rPr>
          <w:rStyle w:val="C3"/>
          <w:rtl w:val="0"/>
        </w:rPr>
      </w:pPr>
    </w:p>
    <w:p>
      <w:pPr>
        <w:pStyle w:val="P29"/>
        <w:framePr w:w="3839" w:h="480" w:hRule="exact" w:wrap="none" w:vAnchor="page" w:hAnchor="margin" w:x="6856" w:y="10224"/>
        <w:rPr>
          <w:rStyle w:val="C21"/>
          <w:rtl w:val="0"/>
        </w:rPr>
      </w:pPr>
      <w:r>
        <w:rPr>
          <w:rStyle w:val="C21"/>
          <w:rtl w:val="0"/>
        </w:rPr>
        <w:t>Ústní ověření</w:t>
      </w:r>
    </w:p>
    <w:p>
      <w:pPr>
        <w:pStyle w:val="P16"/>
        <w:framePr w:w="6710" w:h="607" w:hRule="exact" w:wrap="none" w:vAnchor="page" w:hAnchor="margin" w:x="45" w:y="10775"/>
        <w:rPr>
          <w:rStyle w:val="C3"/>
          <w:rtl w:val="0"/>
        </w:rPr>
      </w:pPr>
    </w:p>
    <w:p>
      <w:pPr>
        <w:pStyle w:val="P17"/>
        <w:framePr w:w="6658" w:h="480" w:hRule="exact" w:wrap="none" w:vAnchor="page" w:hAnchor="margin" w:x="71" w:y="10831"/>
        <w:rPr>
          <w:rStyle w:val="C13"/>
          <w:rtl w:val="0"/>
        </w:rPr>
      </w:pPr>
      <w:r>
        <w:rPr>
          <w:rStyle w:val="C13"/>
          <w:rtl w:val="0"/>
        </w:rPr>
        <w:t>b) Popsat způsoby a prostředky monitorování a měření parametrů prostředí ve výstavních sálech a výstavních vitrínách</w:t>
      </w:r>
    </w:p>
    <w:p>
      <w:pPr>
        <w:pStyle w:val="P30"/>
        <w:framePr w:w="3921" w:h="607" w:hRule="exact" w:wrap="none" w:vAnchor="page" w:hAnchor="margin" w:x="6800" w:y="10775"/>
        <w:rPr>
          <w:rStyle w:val="C3"/>
          <w:rtl w:val="0"/>
        </w:rPr>
      </w:pPr>
    </w:p>
    <w:p>
      <w:pPr>
        <w:pStyle w:val="P31"/>
        <w:framePr w:w="3839" w:h="480" w:hRule="exact" w:wrap="none" w:vAnchor="page" w:hAnchor="margin" w:x="6856" w:y="10831"/>
        <w:rPr>
          <w:rStyle w:val="C22"/>
          <w:rtl w:val="0"/>
        </w:rPr>
      </w:pPr>
      <w:r>
        <w:rPr>
          <w:rStyle w:val="C22"/>
          <w:rtl w:val="0"/>
        </w:rPr>
        <w:t>Ústní ověření</w:t>
      </w:r>
    </w:p>
    <w:p>
      <w:pPr>
        <w:pStyle w:val="P12"/>
        <w:framePr w:w="6710" w:h="607" w:hRule="exact" w:wrap="none" w:vAnchor="page" w:hAnchor="margin" w:x="45" w:y="11382"/>
        <w:rPr>
          <w:rStyle w:val="C3"/>
          <w:rtl w:val="0"/>
        </w:rPr>
      </w:pPr>
    </w:p>
    <w:p>
      <w:pPr>
        <w:pStyle w:val="P13"/>
        <w:framePr w:w="6658" w:h="480" w:hRule="exact" w:wrap="none" w:vAnchor="page" w:hAnchor="margin" w:x="71" w:y="11438"/>
        <w:rPr>
          <w:rStyle w:val="C11"/>
          <w:rtl w:val="0"/>
        </w:rPr>
      </w:pPr>
      <w:r>
        <w:rPr>
          <w:rStyle w:val="C11"/>
          <w:rtl w:val="0"/>
        </w:rPr>
        <w:t>c) Vyjmenovat a vysvětlit základní faktory ohrožující sbírky včetně preventivních opatření pro jejich minimalizaci</w:t>
      </w:r>
    </w:p>
    <w:p>
      <w:pPr>
        <w:pStyle w:val="P28"/>
        <w:framePr w:w="3921" w:h="607" w:hRule="exact" w:wrap="none" w:vAnchor="page" w:hAnchor="margin" w:x="6800" w:y="11382"/>
        <w:rPr>
          <w:rStyle w:val="C3"/>
          <w:rtl w:val="0"/>
        </w:rPr>
      </w:pPr>
    </w:p>
    <w:p>
      <w:pPr>
        <w:pStyle w:val="P29"/>
        <w:framePr w:w="3839" w:h="480" w:hRule="exact" w:wrap="none" w:vAnchor="page" w:hAnchor="margin" w:x="6856" w:y="11438"/>
        <w:rPr>
          <w:rStyle w:val="C21"/>
          <w:rtl w:val="0"/>
        </w:rPr>
      </w:pPr>
      <w:r>
        <w:rPr>
          <w:rStyle w:val="C21"/>
          <w:rtl w:val="0"/>
        </w:rPr>
        <w:t>Ústní ověření</w:t>
      </w:r>
    </w:p>
    <w:p>
      <w:pPr>
        <w:pStyle w:val="P16"/>
        <w:framePr w:w="6710" w:h="376" w:hRule="exact" w:wrap="none" w:vAnchor="page" w:hAnchor="margin" w:x="45" w:y="11989"/>
        <w:rPr>
          <w:rStyle w:val="C3"/>
          <w:rtl w:val="0"/>
        </w:rPr>
      </w:pPr>
    </w:p>
    <w:p>
      <w:pPr>
        <w:pStyle w:val="P17"/>
        <w:framePr w:w="6658" w:h="249" w:hRule="exact" w:wrap="none" w:vAnchor="page" w:hAnchor="margin" w:x="71" w:y="12045"/>
        <w:rPr>
          <w:rStyle w:val="C13"/>
          <w:rtl w:val="0"/>
        </w:rPr>
      </w:pPr>
      <w:r>
        <w:rPr>
          <w:rStyle w:val="C13"/>
          <w:rtl w:val="0"/>
        </w:rPr>
        <w:t>d) Popsat základní typy výstavního mobiliáře</w:t>
      </w:r>
    </w:p>
    <w:p>
      <w:pPr>
        <w:pStyle w:val="P30"/>
        <w:framePr w:w="3921" w:h="376" w:hRule="exact" w:wrap="none" w:vAnchor="page" w:hAnchor="margin" w:x="6800" w:y="11989"/>
        <w:rPr>
          <w:rStyle w:val="C3"/>
          <w:rtl w:val="0"/>
        </w:rPr>
      </w:pPr>
    </w:p>
    <w:p>
      <w:pPr>
        <w:pStyle w:val="P31"/>
        <w:framePr w:w="3839" w:h="249" w:hRule="exact" w:wrap="none" w:vAnchor="page" w:hAnchor="margin" w:x="6856" w:y="12045"/>
        <w:rPr>
          <w:rStyle w:val="C22"/>
          <w:rtl w:val="0"/>
        </w:rPr>
      </w:pPr>
      <w:r>
        <w:rPr>
          <w:rStyle w:val="C22"/>
          <w:rtl w:val="0"/>
        </w:rPr>
        <w:t>Ústní ověření</w:t>
      </w:r>
    </w:p>
    <w:p>
      <w:pPr>
        <w:pStyle w:val="P12"/>
        <w:framePr w:w="6710" w:h="376" w:hRule="exact" w:wrap="none" w:vAnchor="page" w:hAnchor="margin" w:x="45" w:y="12365"/>
        <w:rPr>
          <w:rStyle w:val="C3"/>
          <w:rtl w:val="0"/>
        </w:rPr>
      </w:pPr>
    </w:p>
    <w:p>
      <w:pPr>
        <w:pStyle w:val="P13"/>
        <w:framePr w:w="6658" w:h="249" w:hRule="exact" w:wrap="none" w:vAnchor="page" w:hAnchor="margin" w:x="71" w:y="12421"/>
        <w:rPr>
          <w:rStyle w:val="C11"/>
          <w:rtl w:val="0"/>
        </w:rPr>
      </w:pPr>
      <w:r>
        <w:rPr>
          <w:rStyle w:val="C11"/>
          <w:rtl w:val="0"/>
        </w:rPr>
        <w:t>e) Popsat postupy při zajišťování grafického vizuálu výstavy</w:t>
      </w:r>
    </w:p>
    <w:p>
      <w:pPr>
        <w:pStyle w:val="P28"/>
        <w:framePr w:w="3921" w:h="376" w:hRule="exact" w:wrap="none" w:vAnchor="page" w:hAnchor="margin" w:x="6800" w:y="12365"/>
        <w:rPr>
          <w:rStyle w:val="C3"/>
          <w:rtl w:val="0"/>
        </w:rPr>
      </w:pPr>
    </w:p>
    <w:p>
      <w:pPr>
        <w:pStyle w:val="P29"/>
        <w:framePr w:w="3839" w:h="249" w:hRule="exact" w:wrap="none" w:vAnchor="page" w:hAnchor="margin" w:x="6856" w:y="12421"/>
        <w:rPr>
          <w:rStyle w:val="C21"/>
          <w:rtl w:val="0"/>
        </w:rPr>
      </w:pPr>
      <w:r>
        <w:rPr>
          <w:rStyle w:val="C21"/>
          <w:rtl w:val="0"/>
        </w:rPr>
        <w:t>Ústní ověření</w:t>
      </w:r>
    </w:p>
    <w:p>
      <w:pPr>
        <w:pStyle w:val="P16"/>
        <w:framePr w:w="6710" w:h="607" w:hRule="exact" w:wrap="none" w:vAnchor="page" w:hAnchor="margin" w:x="45" w:y="12741"/>
        <w:rPr>
          <w:rStyle w:val="C3"/>
          <w:rtl w:val="0"/>
        </w:rPr>
      </w:pPr>
    </w:p>
    <w:p>
      <w:pPr>
        <w:pStyle w:val="P17"/>
        <w:framePr w:w="6658" w:h="480" w:hRule="exact" w:wrap="none" w:vAnchor="page" w:hAnchor="margin" w:x="71" w:y="12797"/>
        <w:rPr>
          <w:rStyle w:val="C13"/>
          <w:rtl w:val="0"/>
        </w:rPr>
      </w:pPr>
      <w:r>
        <w:rPr>
          <w:rStyle w:val="C13"/>
          <w:rtl w:val="0"/>
        </w:rPr>
        <w:t>f) Popsat druhy a náplň práce řemeslných oborů aplikovaných při výstavní činnosti</w:t>
      </w:r>
    </w:p>
    <w:p>
      <w:pPr>
        <w:pStyle w:val="P30"/>
        <w:framePr w:w="3921" w:h="607" w:hRule="exact" w:wrap="none" w:vAnchor="page" w:hAnchor="margin" w:x="6800" w:y="12741"/>
        <w:rPr>
          <w:rStyle w:val="C3"/>
          <w:rtl w:val="0"/>
        </w:rPr>
      </w:pPr>
    </w:p>
    <w:p>
      <w:pPr>
        <w:pStyle w:val="P31"/>
        <w:framePr w:w="3839" w:h="480" w:hRule="exact" w:wrap="none" w:vAnchor="page" w:hAnchor="margin" w:x="6856" w:y="12797"/>
        <w:rPr>
          <w:rStyle w:val="C22"/>
          <w:rtl w:val="0"/>
        </w:rPr>
      </w:pPr>
      <w:r>
        <w:rPr>
          <w:rStyle w:val="C22"/>
          <w:rtl w:val="0"/>
        </w:rPr>
        <w:t>Ústní ověření</w:t>
      </w:r>
    </w:p>
    <w:p>
      <w:pPr>
        <w:pStyle w:val="P12"/>
        <w:framePr w:w="6710" w:h="607" w:hRule="exact" w:wrap="none" w:vAnchor="page" w:hAnchor="margin" w:x="45" w:y="13348"/>
        <w:rPr>
          <w:rStyle w:val="C3"/>
          <w:rtl w:val="0"/>
        </w:rPr>
      </w:pPr>
    </w:p>
    <w:p>
      <w:pPr>
        <w:pStyle w:val="P13"/>
        <w:framePr w:w="6658" w:h="480" w:hRule="exact" w:wrap="none" w:vAnchor="page" w:hAnchor="margin" w:x="71" w:y="13404"/>
        <w:rPr>
          <w:rStyle w:val="C11"/>
          <w:rtl w:val="0"/>
        </w:rPr>
      </w:pPr>
      <w:r>
        <w:rPr>
          <w:rStyle w:val="C11"/>
          <w:rtl w:val="0"/>
        </w:rPr>
        <w:t>g) Popsat postup při vyřizování zahraničních výpůjček podle zákona č. 122/2000 Sb.</w:t>
      </w:r>
    </w:p>
    <w:p>
      <w:pPr>
        <w:pStyle w:val="P28"/>
        <w:framePr w:w="3921" w:h="607" w:hRule="exact" w:wrap="none" w:vAnchor="page" w:hAnchor="margin" w:x="6800" w:y="13348"/>
        <w:rPr>
          <w:rStyle w:val="C3"/>
          <w:rtl w:val="0"/>
        </w:rPr>
      </w:pPr>
    </w:p>
    <w:p>
      <w:pPr>
        <w:pStyle w:val="P29"/>
        <w:framePr w:w="3839" w:h="480" w:hRule="exact" w:wrap="none" w:vAnchor="page" w:hAnchor="margin" w:x="6856" w:y="13404"/>
        <w:rPr>
          <w:rStyle w:val="C21"/>
          <w:rtl w:val="0"/>
        </w:rPr>
      </w:pPr>
      <w:r>
        <w:rPr>
          <w:rStyle w:val="C21"/>
          <w:rtl w:val="0"/>
        </w:rPr>
        <w:t>Ústní ověření</w:t>
      </w:r>
    </w:p>
    <w:p>
      <w:pPr>
        <w:pStyle w:val="P16"/>
        <w:framePr w:w="6710" w:h="831" w:hRule="exact" w:wrap="none" w:vAnchor="page" w:hAnchor="margin" w:x="45" w:y="13955"/>
        <w:rPr>
          <w:rStyle w:val="C3"/>
          <w:rtl w:val="0"/>
        </w:rPr>
      </w:pPr>
    </w:p>
    <w:p>
      <w:pPr>
        <w:pStyle w:val="P17"/>
        <w:framePr w:w="6658" w:h="704" w:hRule="exact" w:wrap="none" w:vAnchor="page" w:hAnchor="margin" w:x="71" w:y="14011"/>
        <w:rPr>
          <w:rStyle w:val="C13"/>
          <w:rtl w:val="0"/>
        </w:rPr>
      </w:pPr>
      <w:r>
        <w:rPr>
          <w:rStyle w:val="C13"/>
          <w:rtl w:val="0"/>
        </w:rPr>
        <w:t>h) Zpracovat časový harmonogram výstavy zohledňující jednak přípravnou, jednak realizační fázi výstavy a realizační plán výstavy na základě vzorového projektu výstavy a vzorové dodavatelské faktury</w:t>
      </w:r>
    </w:p>
    <w:p>
      <w:pPr>
        <w:pStyle w:val="P30"/>
        <w:framePr w:w="3921" w:h="831" w:hRule="exact" w:wrap="none" w:vAnchor="page" w:hAnchor="margin" w:x="6800" w:y="13955"/>
        <w:rPr>
          <w:rStyle w:val="C3"/>
          <w:rtl w:val="0"/>
        </w:rPr>
      </w:pPr>
    </w:p>
    <w:p>
      <w:pPr>
        <w:pStyle w:val="P31"/>
        <w:framePr w:w="3839" w:h="704" w:hRule="exact" w:wrap="none" w:vAnchor="page" w:hAnchor="margin" w:x="6856" w:y="14011"/>
        <w:rPr>
          <w:rStyle w:val="C22"/>
          <w:rtl w:val="0"/>
        </w:rPr>
      </w:pPr>
      <w:r>
        <w:rPr>
          <w:rStyle w:val="C22"/>
          <w:rtl w:val="0"/>
        </w:rPr>
        <w:t>Praktické předvedení</w:t>
      </w:r>
    </w:p>
    <w:p>
      <w:pPr>
        <w:pStyle w:val="P32"/>
        <w:framePr w:w="10710" w:h="248" w:hRule="exact" w:wrap="none" w:vAnchor="page" w:hAnchor="margin" w:x="28" w:y="149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Výstavář/výstavářka, 30.4.2026 17:41:16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finančního rozpočtu a nakládání s finančními prostředky určenými pro výstavu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finanční rozpočet a vysvětlit efektivní nakládání s finančními prostředky určenými pro výstavu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Zpracovat modelovou objednávku zboží nebo služeb</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realizačních činností výstavy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831" w:hRule="exact" w:wrap="none" w:vAnchor="page" w:hAnchor="margin" w:x="45" w:y="5317"/>
        <w:rPr>
          <w:rStyle w:val="C3"/>
          <w:rtl w:val="0"/>
        </w:rPr>
      </w:pPr>
    </w:p>
    <w:p>
      <w:pPr>
        <w:pStyle w:val="P13"/>
        <w:framePr w:w="6658" w:h="704" w:hRule="exact" w:wrap="none" w:vAnchor="page" w:hAnchor="margin" w:x="71" w:y="5373"/>
        <w:rPr>
          <w:rStyle w:val="C11"/>
          <w:rtl w:val="0"/>
        </w:rPr>
      </w:pPr>
      <w:r>
        <w:rPr>
          <w:rStyle w:val="C11"/>
          <w:rtl w:val="0"/>
        </w:rPr>
        <w:t>a) Vysvětlit přípravu podkladů pro zadání veřejné zakázky na dodávku zboží nebo služby a objasnit postup zadání s ohledem na realizaci výstav a expozic</w:t>
      </w:r>
    </w:p>
    <w:p>
      <w:pPr>
        <w:pStyle w:val="P28"/>
        <w:framePr w:w="3921" w:h="831" w:hRule="exact" w:wrap="none" w:vAnchor="page" w:hAnchor="margin" w:x="6800" w:y="5317"/>
        <w:rPr>
          <w:rStyle w:val="C3"/>
          <w:rtl w:val="0"/>
        </w:rPr>
      </w:pPr>
    </w:p>
    <w:p>
      <w:pPr>
        <w:pStyle w:val="P29"/>
        <w:framePr w:w="3839" w:h="704" w:hRule="exact" w:wrap="none" w:vAnchor="page" w:hAnchor="margin" w:x="6856" w:y="5373"/>
        <w:rPr>
          <w:rStyle w:val="C21"/>
          <w:rtl w:val="0"/>
        </w:rPr>
      </w:pPr>
      <w:r>
        <w:rPr>
          <w:rStyle w:val="C21"/>
          <w:rtl w:val="0"/>
        </w:rPr>
        <w:t>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Vysvětlit postup kolaudace výstavy nebo expozice</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Ústní ověření</w:t>
      </w:r>
    </w:p>
    <w:p>
      <w:pPr>
        <w:pStyle w:val="P12"/>
        <w:framePr w:w="6710" w:h="1055" w:hRule="exact" w:wrap="none" w:vAnchor="page" w:hAnchor="margin" w:x="45" w:y="6525"/>
        <w:rPr>
          <w:rStyle w:val="C3"/>
          <w:rtl w:val="0"/>
        </w:rPr>
      </w:pPr>
    </w:p>
    <w:p>
      <w:pPr>
        <w:pStyle w:val="P13"/>
        <w:framePr w:w="6658" w:h="928" w:hRule="exact" w:wrap="none" w:vAnchor="page" w:hAnchor="margin" w:x="71" w:y="6581"/>
        <w:rPr>
          <w:rStyle w:val="C11"/>
          <w:rtl w:val="0"/>
        </w:rPr>
      </w:pPr>
      <w:r>
        <w:rPr>
          <w:rStyle w:val="C11"/>
          <w:rtl w:val="0"/>
        </w:rPr>
        <w:t>c) Vytvořit modelovou obsahovou strukturu lokačního seznamu exponátů v expozici nebo na výstavě v prostředí tabulkového procesoru (např. MS Excel), zdůvodnit tuto strukturu a popsat, jakým způsobem se do ní budou zadávat data</w:t>
      </w:r>
    </w:p>
    <w:p>
      <w:pPr>
        <w:pStyle w:val="P28"/>
        <w:framePr w:w="3921" w:h="1055" w:hRule="exact" w:wrap="none" w:vAnchor="page" w:hAnchor="margin" w:x="6800" w:y="6525"/>
        <w:rPr>
          <w:rStyle w:val="C3"/>
          <w:rtl w:val="0"/>
        </w:rPr>
      </w:pPr>
    </w:p>
    <w:p>
      <w:pPr>
        <w:pStyle w:val="P29"/>
        <w:framePr w:w="3839" w:h="928" w:hRule="exact" w:wrap="none" w:vAnchor="page" w:hAnchor="margin" w:x="6856" w:y="6581"/>
        <w:rPr>
          <w:rStyle w:val="C21"/>
          <w:rtl w:val="0"/>
        </w:rPr>
      </w:pPr>
      <w:r>
        <w:rPr>
          <w:rStyle w:val="C21"/>
          <w:rtl w:val="0"/>
        </w:rPr>
        <w:t>Praktické předvedení</w:t>
      </w:r>
    </w:p>
    <w:p>
      <w:pPr>
        <w:pStyle w:val="P16"/>
        <w:framePr w:w="6710" w:h="831" w:hRule="exact" w:wrap="none" w:vAnchor="page" w:hAnchor="margin" w:x="45" w:y="7580"/>
        <w:rPr>
          <w:rStyle w:val="C3"/>
          <w:rtl w:val="0"/>
        </w:rPr>
      </w:pPr>
    </w:p>
    <w:p>
      <w:pPr>
        <w:pStyle w:val="P17"/>
        <w:framePr w:w="6658" w:h="704" w:hRule="exact" w:wrap="none" w:vAnchor="page" w:hAnchor="margin" w:x="71" w:y="7636"/>
        <w:rPr>
          <w:rStyle w:val="C13"/>
          <w:rtl w:val="0"/>
        </w:rPr>
      </w:pPr>
      <w:r>
        <w:rPr>
          <w:rStyle w:val="C13"/>
          <w:rtl w:val="0"/>
        </w:rPr>
        <w:t>d) Vyplnit standardizovaný Evropský protokol o stavu předmětu (Condition Report)</w:t>
        <w:br w:type="textWrapping"/>
        <w:t>jak za přebírající, tak za předávající subjekt</w:t>
      </w:r>
    </w:p>
    <w:p>
      <w:pPr>
        <w:pStyle w:val="P30"/>
        <w:framePr w:w="3921" w:h="831" w:hRule="exact" w:wrap="none" w:vAnchor="page" w:hAnchor="margin" w:x="6800" w:y="7580"/>
        <w:rPr>
          <w:rStyle w:val="C3"/>
          <w:rtl w:val="0"/>
        </w:rPr>
      </w:pPr>
    </w:p>
    <w:p>
      <w:pPr>
        <w:pStyle w:val="P31"/>
        <w:framePr w:w="3839" w:h="704" w:hRule="exact" w:wrap="none" w:vAnchor="page" w:hAnchor="margin" w:x="6856" w:y="7636"/>
        <w:rPr>
          <w:rStyle w:val="C22"/>
          <w:rtl w:val="0"/>
        </w:rPr>
      </w:pPr>
      <w:r>
        <w:rPr>
          <w:rStyle w:val="C22"/>
          <w:rtl w:val="0"/>
        </w:rPr>
        <w:t>Praktické předvedení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e) Vyplnit standardizovaný Evropský protokol o bezpečnosti objektů (Facilities Report)</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Praktické předvedení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f) Orientace v technické dokumentaci výstavy (výkresová dokumentace a výkazy výměr)</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 a ústní ověření</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340" w:hRule="exact" w:wrap="none" w:vAnchor="page" w:hAnchor="margin" w:x="28" w:y="10174"/>
        <w:rPr>
          <w:rStyle w:val="C18"/>
          <w:rtl w:val="0"/>
        </w:rPr>
      </w:pPr>
      <w:r>
        <w:rPr>
          <w:rStyle w:val="C18"/>
          <w:rtl w:val="0"/>
        </w:rPr>
        <w:t>Zajišťování bezpečnosti v souvislosti s přípravou a konáním výstavy či expozice</w:t>
      </w:r>
    </w:p>
    <w:p>
      <w:pPr>
        <w:pStyle w:val="P24"/>
        <w:framePr w:w="6713" w:h="376" w:hRule="exact" w:wrap="none" w:vAnchor="page" w:hAnchor="margin" w:x="45" w:y="10613"/>
        <w:rPr>
          <w:rStyle w:val="C3"/>
          <w:rtl w:val="0"/>
        </w:rPr>
      </w:pPr>
    </w:p>
    <w:p>
      <w:pPr>
        <w:pStyle w:val="P25"/>
        <w:framePr w:w="6661" w:h="249" w:hRule="exact" w:wrap="none" w:vAnchor="page" w:hAnchor="margin" w:x="71" w:y="10684"/>
        <w:rPr>
          <w:rStyle w:val="C19"/>
          <w:rtl w:val="0"/>
        </w:rPr>
      </w:pPr>
      <w:r>
        <w:rPr>
          <w:rStyle w:val="C19"/>
          <w:rtl w:val="0"/>
        </w:rPr>
        <w:t>Kritéria hodnocení</w:t>
      </w:r>
    </w:p>
    <w:p>
      <w:pPr>
        <w:pStyle w:val="P26"/>
        <w:framePr w:w="3918" w:h="376" w:hRule="exact" w:wrap="none" w:vAnchor="page" w:hAnchor="margin" w:x="6803" w:y="10613"/>
        <w:rPr>
          <w:rStyle w:val="C3"/>
          <w:rtl w:val="0"/>
        </w:rPr>
      </w:pPr>
    </w:p>
    <w:p>
      <w:pPr>
        <w:pStyle w:val="P27"/>
        <w:framePr w:w="3836" w:h="249" w:hRule="exact" w:wrap="none" w:vAnchor="page" w:hAnchor="margin" w:x="6859" w:y="10684"/>
        <w:rPr>
          <w:rStyle w:val="C20"/>
          <w:rtl w:val="0"/>
        </w:rPr>
      </w:pPr>
      <w:r>
        <w:rPr>
          <w:rStyle w:val="C20"/>
          <w:rtl w:val="0"/>
        </w:rPr>
        <w:t>Způsoby ověření</w:t>
      </w:r>
    </w:p>
    <w:p>
      <w:pPr>
        <w:pStyle w:val="P12"/>
        <w:framePr w:w="6710" w:h="1280" w:hRule="exact" w:wrap="none" w:vAnchor="page" w:hAnchor="margin" w:x="45" w:y="10989"/>
        <w:rPr>
          <w:rStyle w:val="C3"/>
          <w:rtl w:val="0"/>
        </w:rPr>
      </w:pPr>
    </w:p>
    <w:p>
      <w:pPr>
        <w:pStyle w:val="P13"/>
        <w:framePr w:w="6658" w:h="1153" w:hRule="exact" w:wrap="none" w:vAnchor="page" w:hAnchor="margin" w:x="71" w:y="11045"/>
        <w:rPr>
          <w:rStyle w:val="C11"/>
          <w:rtl w:val="0"/>
        </w:rPr>
      </w:pPr>
      <w:r>
        <w:rPr>
          <w:rStyle w:val="C11"/>
          <w:rtl w:val="0"/>
        </w:rPr>
        <w:t>a) Popsat základní pravidla BOZP a PO při tvorbě výstavy či expozice z hlediska pohybu návštěvníků (označení únikových cest a východů, minimální vzdálenosti mezi výstavním mobiliářem a výstavními prvky, maximální počty návštěvníků k rozměru výstavního sálu, použití materiálů z hlediska hořlavosti)</w:t>
      </w:r>
    </w:p>
    <w:p>
      <w:pPr>
        <w:pStyle w:val="P28"/>
        <w:framePr w:w="3921" w:h="1280" w:hRule="exact" w:wrap="none" w:vAnchor="page" w:hAnchor="margin" w:x="6800" w:y="10989"/>
        <w:rPr>
          <w:rStyle w:val="C3"/>
          <w:rtl w:val="0"/>
        </w:rPr>
      </w:pPr>
    </w:p>
    <w:p>
      <w:pPr>
        <w:pStyle w:val="P29"/>
        <w:framePr w:w="3839" w:h="1153" w:hRule="exact" w:wrap="none" w:vAnchor="page" w:hAnchor="margin" w:x="6856" w:y="11045"/>
        <w:rPr>
          <w:rStyle w:val="C21"/>
          <w:rtl w:val="0"/>
        </w:rPr>
      </w:pPr>
      <w:r>
        <w:rPr>
          <w:rStyle w:val="C21"/>
          <w:rtl w:val="0"/>
        </w:rPr>
        <w:t>Ústní ověření</w:t>
      </w:r>
    </w:p>
    <w:p>
      <w:pPr>
        <w:pStyle w:val="P16"/>
        <w:framePr w:w="6710" w:h="831" w:hRule="exact" w:wrap="none" w:vAnchor="page" w:hAnchor="margin" w:x="45" w:y="12269"/>
        <w:rPr>
          <w:rStyle w:val="C3"/>
          <w:rtl w:val="0"/>
        </w:rPr>
      </w:pPr>
    </w:p>
    <w:p>
      <w:pPr>
        <w:pStyle w:val="P17"/>
        <w:framePr w:w="6658" w:h="704" w:hRule="exact" w:wrap="none" w:vAnchor="page" w:hAnchor="margin" w:x="71" w:y="12325"/>
        <w:rPr>
          <w:rStyle w:val="C13"/>
          <w:rtl w:val="0"/>
        </w:rPr>
      </w:pPr>
      <w:r>
        <w:rPr>
          <w:rStyle w:val="C13"/>
          <w:rtl w:val="0"/>
        </w:rPr>
        <w:t>b) Popsat základní pravidla pro zajištění bezpečnosti jednotlivých exponátů (volně instalovaný předmět mimo vitrínu, předmět v běžné vitríně, unikátní předmět vysoké pojistné hodnoty)</w:t>
      </w:r>
    </w:p>
    <w:p>
      <w:pPr>
        <w:pStyle w:val="P30"/>
        <w:framePr w:w="3921" w:h="831" w:hRule="exact" w:wrap="none" w:vAnchor="page" w:hAnchor="margin" w:x="6800" w:y="12269"/>
        <w:rPr>
          <w:rStyle w:val="C3"/>
          <w:rtl w:val="0"/>
        </w:rPr>
      </w:pPr>
    </w:p>
    <w:p>
      <w:pPr>
        <w:pStyle w:val="P31"/>
        <w:framePr w:w="3839" w:h="704" w:hRule="exact" w:wrap="none" w:vAnchor="page" w:hAnchor="margin" w:x="6856" w:y="12325"/>
        <w:rPr>
          <w:rStyle w:val="C22"/>
          <w:rtl w:val="0"/>
        </w:rPr>
      </w:pPr>
      <w:r>
        <w:rPr>
          <w:rStyle w:val="C22"/>
          <w:rtl w:val="0"/>
        </w:rPr>
        <w:t>Ústní ověření</w:t>
      </w:r>
    </w:p>
    <w:p>
      <w:pPr>
        <w:pStyle w:val="P12"/>
        <w:framePr w:w="6710" w:h="831" w:hRule="exact" w:wrap="none" w:vAnchor="page" w:hAnchor="margin" w:x="45" w:y="13100"/>
        <w:rPr>
          <w:rStyle w:val="C3"/>
          <w:rtl w:val="0"/>
        </w:rPr>
      </w:pPr>
    </w:p>
    <w:p>
      <w:pPr>
        <w:pStyle w:val="P13"/>
        <w:framePr w:w="6658" w:h="704" w:hRule="exact" w:wrap="none" w:vAnchor="page" w:hAnchor="margin" w:x="71" w:y="13156"/>
        <w:rPr>
          <w:rStyle w:val="C11"/>
          <w:rtl w:val="0"/>
        </w:rPr>
      </w:pPr>
      <w:r>
        <w:rPr>
          <w:rStyle w:val="C11"/>
          <w:rtl w:val="0"/>
        </w:rPr>
        <w:t>c) Uvést základní hygienická opatření, zásady a předpisy bezpečnosti práce při stavbě výstavy či expozice (použití chemikálií, práce s elektrickým nářadím, svařování)</w:t>
      </w:r>
    </w:p>
    <w:p>
      <w:pPr>
        <w:pStyle w:val="P28"/>
        <w:framePr w:w="3921" w:h="831" w:hRule="exact" w:wrap="none" w:vAnchor="page" w:hAnchor="margin" w:x="6800" w:y="13100"/>
        <w:rPr>
          <w:rStyle w:val="C3"/>
          <w:rtl w:val="0"/>
        </w:rPr>
      </w:pPr>
    </w:p>
    <w:p>
      <w:pPr>
        <w:pStyle w:val="P29"/>
        <w:framePr w:w="3839" w:h="704" w:hRule="exact" w:wrap="none" w:vAnchor="page" w:hAnchor="margin" w:x="6856" w:y="13156"/>
        <w:rPr>
          <w:rStyle w:val="C21"/>
          <w:rtl w:val="0"/>
        </w:rPr>
      </w:pPr>
      <w:r>
        <w:rPr>
          <w:rStyle w:val="C21"/>
          <w:rtl w:val="0"/>
        </w:rPr>
        <w:t>Ústní ověření</w:t>
      </w:r>
    </w:p>
    <w:p>
      <w:pPr>
        <w:pStyle w:val="P16"/>
        <w:framePr w:w="6710" w:h="607" w:hRule="exact" w:wrap="none" w:vAnchor="page" w:hAnchor="margin" w:x="45" w:y="13931"/>
        <w:rPr>
          <w:rStyle w:val="C3"/>
          <w:rtl w:val="0"/>
        </w:rPr>
      </w:pPr>
    </w:p>
    <w:p>
      <w:pPr>
        <w:pStyle w:val="P17"/>
        <w:framePr w:w="6658" w:h="480" w:hRule="exact" w:wrap="none" w:vAnchor="page" w:hAnchor="margin" w:x="71" w:y="13987"/>
        <w:rPr>
          <w:rStyle w:val="C13"/>
          <w:rtl w:val="0"/>
        </w:rPr>
      </w:pPr>
      <w:r>
        <w:rPr>
          <w:rStyle w:val="C13"/>
          <w:rtl w:val="0"/>
        </w:rPr>
        <w:t>d) Vyjmenovat základní typy preventivní konzervace sbírkových předmětů z hlediska režimů provozu výstavy či expozice</w:t>
      </w:r>
    </w:p>
    <w:p>
      <w:pPr>
        <w:pStyle w:val="P30"/>
        <w:framePr w:w="3921" w:h="607" w:hRule="exact" w:wrap="none" w:vAnchor="page" w:hAnchor="margin" w:x="6800" w:y="13931"/>
        <w:rPr>
          <w:rStyle w:val="C3"/>
          <w:rtl w:val="0"/>
        </w:rPr>
      </w:pPr>
    </w:p>
    <w:p>
      <w:pPr>
        <w:pStyle w:val="P31"/>
        <w:framePr w:w="3839" w:h="480" w:hRule="exact" w:wrap="none" w:vAnchor="page" w:hAnchor="margin" w:x="6856" w:y="13987"/>
        <w:rPr>
          <w:rStyle w:val="C22"/>
          <w:rtl w:val="0"/>
        </w:rPr>
      </w:pPr>
      <w:r>
        <w:rPr>
          <w:rStyle w:val="C22"/>
          <w:rtl w:val="0"/>
        </w:rPr>
        <w:t>Ústní ověření</w:t>
      </w:r>
    </w:p>
    <w:p>
      <w:pPr>
        <w:pStyle w:val="P12"/>
        <w:framePr w:w="6710" w:h="607" w:hRule="exact" w:wrap="none" w:vAnchor="page" w:hAnchor="margin" w:x="45" w:y="14538"/>
        <w:rPr>
          <w:rStyle w:val="C3"/>
          <w:rtl w:val="0"/>
        </w:rPr>
      </w:pPr>
    </w:p>
    <w:p>
      <w:pPr>
        <w:pStyle w:val="P13"/>
        <w:framePr w:w="6658" w:h="480" w:hRule="exact" w:wrap="none" w:vAnchor="page" w:hAnchor="margin" w:x="71" w:y="14594"/>
        <w:rPr>
          <w:rStyle w:val="C11"/>
          <w:rtl w:val="0"/>
        </w:rPr>
      </w:pPr>
      <w:r>
        <w:rPr>
          <w:rStyle w:val="C11"/>
          <w:rtl w:val="0"/>
        </w:rPr>
        <w:t>e) Navrhnout postup při zjištění poškození či ztráty sbírkového provozu výstavy či expozice včetně pravidel pro hlášení pojistné události</w:t>
      </w:r>
    </w:p>
    <w:p>
      <w:pPr>
        <w:pStyle w:val="P28"/>
        <w:framePr w:w="3921" w:h="607" w:hRule="exact" w:wrap="none" w:vAnchor="page" w:hAnchor="margin" w:x="6800" w:y="14538"/>
        <w:rPr>
          <w:rStyle w:val="C3"/>
          <w:rtl w:val="0"/>
        </w:rPr>
      </w:pPr>
    </w:p>
    <w:p>
      <w:pPr>
        <w:pStyle w:val="P29"/>
        <w:framePr w:w="3839" w:h="480" w:hRule="exact" w:wrap="none" w:vAnchor="page" w:hAnchor="margin" w:x="6856" w:y="14594"/>
        <w:rPr>
          <w:rStyle w:val="C21"/>
          <w:rtl w:val="0"/>
        </w:rPr>
      </w:pPr>
      <w:r>
        <w:rPr>
          <w:rStyle w:val="C21"/>
          <w:rtl w:val="0"/>
        </w:rPr>
        <w:t>Praktické předvedení a ústní ověření</w:t>
      </w:r>
    </w:p>
    <w:p>
      <w:pPr>
        <w:pStyle w:val="P32"/>
        <w:framePr w:w="10710" w:h="248" w:hRule="exact" w:wrap="none" w:vAnchor="page" w:hAnchor="margin" w:x="28" w:y="152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Výstavář/výstavářka, 30.4.2026 17:41:16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https://www.nsp.cz/jednotka-prace/vystavar</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činnostech při přípravě výstavy, </w:t>
      </w:r>
      <w:r>
        <w:rPr>
          <w:rFonts w:ascii="Arial" w:cs="Arial" w:hAnsi="Arial" w:eastAsia="Arial"/>
          <w:b w:val="0"/>
          <w:i w:val="0"/>
          <w:caps w:val="0"/>
          <w:strike w:val="0"/>
          <w:noProof w:val="0"/>
          <w:vanish w:val="0"/>
          <w:color w:val="auto"/>
          <w:sz w:val="20"/>
          <w:u w:val="none"/>
          <w:shd w:val="clear" w:color="auto" w:fill="auto"/>
          <w:vertAlign w:val="baseline"/>
          <w:lang/>
        </w:rPr>
        <w:t>kritérium a) uchazeč vyjmenuje a charakterizuje základní metody a pravidla aranžování minimálně pro 5 sbírkových předmětů (např. archiválie, historické knihy, archeologický materiál, přírodniny, hudební nástroje, numizmatický materiál).</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kompetencí </w:t>
      </w:r>
      <w:r>
        <w:rPr>
          <w:rFonts w:ascii="Arial" w:cs="Arial" w:hAnsi="Arial" w:eastAsia="Arial"/>
          <w:b w:val="1"/>
          <w:i w:val="0"/>
          <w:caps w:val="0"/>
          <w:strike w:val="0"/>
          <w:noProof w:val="0"/>
          <w:vanish w:val="0"/>
          <w:color w:val="auto"/>
          <w:sz w:val="20"/>
          <w:u w:val="none"/>
          <w:shd w:val="clear" w:color="auto" w:fill="auto"/>
          <w:vertAlign w:val="baseline"/>
          <w:lang/>
        </w:rPr>
        <w:t>Stanovování finančního rozpočtu a nakládání s finančními prostředky určenými pro výstavu</w:t>
      </w:r>
      <w:r>
        <w:rPr>
          <w:rFonts w:ascii="Arial" w:cs="Arial" w:hAnsi="Arial" w:eastAsia="Arial"/>
          <w:b w:val="0"/>
          <w:i w:val="0"/>
          <w:caps w:val="0"/>
          <w:strike w:val="0"/>
          <w:noProof w:val="0"/>
          <w:vanish w:val="0"/>
          <w:color w:val="auto"/>
          <w:sz w:val="20"/>
          <w:u w:val="none"/>
          <w:shd w:val="clear" w:color="auto" w:fill="auto"/>
          <w:vertAlign w:val="baseline"/>
          <w:lang/>
        </w:rPr>
        <w:t xml:space="preserve"> a zajistí autorizovaná osoba vzor dodavatelské faktury a vzorový projekt výstavy.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realizačních činností výstavy </w:t>
      </w:r>
      <w:r>
        <w:rPr>
          <w:rFonts w:ascii="Arial" w:cs="Arial" w:hAnsi="Arial" w:eastAsia="Arial"/>
          <w:b w:val="0"/>
          <w:i w:val="0"/>
          <w:caps w:val="0"/>
          <w:strike w:val="0"/>
          <w:noProof w:val="0"/>
          <w:vanish w:val="0"/>
          <w:color w:val="auto"/>
          <w:sz w:val="20"/>
          <w:u w:val="none"/>
          <w:shd w:val="clear" w:color="auto" w:fill="auto"/>
          <w:vertAlign w:val="baseline"/>
          <w:lang/>
        </w:rPr>
        <w:t>autorizovaná osoba vybere a zajistí příslušnou vzorovou dokumentaci k provedení zkoušky (scénář a projekt výstavy, výkresovou dokumentaci výstavy, Evropský protokol o stavu předmětu (Condition Report), Evropský protokol o bezpečnosti objektů (Facilities Report). Uchazeč bude mít k dispozici PC s nezbytnými XLS programy.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Zajišťování bezpečnosti v souvislosti s přípravou a konáním výstavy či expozice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vybere a zajistí vzorový projekt výstavy. Uchazeč vyplní formulář pro hlášení pojistné události. </w:t>
      </w:r>
    </w:p>
    <w:p>
      <w:pPr>
        <w:pStyle w:val="P33"/>
        <w:framePr w:w="10766" w:h="1837"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Výsledné hodnocení</w:t>
      </w:r>
    </w:p>
    <w:p>
      <w:pPr>
        <w:keepNext w:val="0"/>
        <w:keepLines w:val="0"/>
        <w:framePr w:w="10766" w:h="1497"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450"/>
        <w:rPr>
          <w:rStyle w:val="C3"/>
          <w:rtl w:val="0"/>
        </w:rPr>
      </w:pPr>
    </w:p>
    <w:p>
      <w:pPr>
        <w:pStyle w:val="P35"/>
        <w:framePr w:w="10710" w:h="340" w:hRule="exact" w:wrap="none" w:vAnchor="page" w:hAnchor="margin" w:x="28" w:y="12450"/>
        <w:rPr>
          <w:rStyle w:val="C25"/>
          <w:rtl w:val="0"/>
        </w:rPr>
      </w:pPr>
      <w:r>
        <w:rPr>
          <w:rStyle w:val="C25"/>
          <w:rtl w:val="0"/>
        </w:rPr>
        <w:t>Počet zkoušejících</w:t>
      </w:r>
    </w:p>
    <w:p>
      <w:pPr>
        <w:keepNext w:val="0"/>
        <w:keepLines w:val="0"/>
        <w:framePr w:w="10766" w:h="1271"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Výstavář/výstavářka, 30.4.2026 17:41:16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scénické a výstavní tvorby, managementu, stavitelství, ekonomie a alespoň 5 let odborné praxe v oblasti navrhování, tvorby/stavby a provozu výstav a expozic.</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muzeologii, ekonomii, architekturu, stavitelství a alespoň 5 let odborné praxe v oblasti navrhování, tvorby/stavby a provozu výstav a expozic nebo ve funkci učitele odborných předmětů v oblasti muzeologie, řízení kulturní instituce, obecného managementu, architektury, stavitelství.</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82-039-N Výstavář/výstavářka + střední vzdělání s maturitní zkouškou a alespoň 5 let odborné praxe v oblasti navrhování, tvorby/stavby a provozu výstav a expozic.</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kultury ČR, www.mkcr.cz. </w:t>
      </w:r>
    </w:p>
    <w:p>
      <w:pPr>
        <w:pStyle w:val="P33"/>
        <w:framePr w:w="10766" w:h="4016" w:hRule="exact" w:wrap="none" w:vAnchor="page" w:hAnchor="margin" w:x="0" w:y="10253"/>
        <w:rPr>
          <w:rStyle w:val="C3"/>
          <w:rtl w:val="0"/>
        </w:rPr>
      </w:pPr>
    </w:p>
    <w:p>
      <w:pPr>
        <w:pStyle w:val="P35"/>
        <w:framePr w:w="10710" w:h="340" w:hRule="exact" w:wrap="none" w:vAnchor="page" w:hAnchor="margin" w:x="28" w:y="10253"/>
        <w:rPr>
          <w:rStyle w:val="C25"/>
          <w:rtl w:val="0"/>
        </w:rPr>
      </w:pPr>
      <w:r>
        <w:rPr>
          <w:rStyle w:val="C25"/>
          <w:rtl w:val="0"/>
        </w:rPr>
        <w:t>Nezbytné materiální a technické předpoklady pro provedení zkoušky</w:t>
      </w:r>
    </w:p>
    <w:p>
      <w:pPr>
        <w:keepNext w:val="0"/>
        <w:keepLines w:val="0"/>
        <w:framePr w:w="10766" w:h="3676"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3676" w:hRule="exact" w:wrap="none" w:vAnchor="page" w:hAnchor="margin" w:x="0" w:y="105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se základním softwarem (1 počítač nebo notebook s připojením na internet, tabulkový procesor např. v rámci prostředí MS Office)</w:t>
      </w:r>
    </w:p>
    <w:p>
      <w:pPr>
        <w:keepNext w:val="0"/>
        <w:keepLines w:val="1"/>
        <w:framePr w:w="10766" w:h="3676" w:hRule="exact" w:wrap="none" w:vAnchor="page" w:hAnchor="margin" w:x="0" w:y="105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vytištěné příslušné právní předpisy v aktuálním znění ke kompetenci </w:t>
      </w:r>
      <w:r>
        <w:rPr>
          <w:rFonts w:ascii="Arial" w:cs="Arial" w:hAnsi="Arial" w:eastAsia="Arial"/>
          <w:b w:val="1"/>
          <w:i w:val="0"/>
          <w:caps w:val="0"/>
          <w:strike w:val="0"/>
          <w:noProof w:val="0"/>
          <w:vanish w:val="0"/>
          <w:color w:val="auto"/>
          <w:sz w:val="20"/>
          <w:u w:val="none"/>
          <w:shd w:val="clear" w:color="auto" w:fill="auto"/>
          <w:vertAlign w:val="baseline"/>
          <w:lang/>
        </w:rPr>
        <w:t>Orientace ve speciálních právních normách ve vztahu k přípravě výstav a expozic</w:t>
      </w:r>
    </w:p>
    <w:p>
      <w:pPr>
        <w:keepNext w:val="0"/>
        <w:keepLines w:val="1"/>
        <w:framePr w:w="10766" w:h="3676" w:hRule="exact" w:wrap="none" w:vAnchor="page" w:hAnchor="margin" w:x="0" w:y="105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architektonický plán výstavy, scénář a projekt výstavy o minimálním rozsahu 50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technický výkres, stavební deník, dodavatelská faktura</w:t>
      </w:r>
    </w:p>
    <w:p>
      <w:pPr>
        <w:keepNext w:val="0"/>
        <w:keepLines w:val="1"/>
        <w:framePr w:w="10766" w:h="3676" w:hRule="exact" w:wrap="none" w:vAnchor="page" w:hAnchor="margin" w:x="0" w:y="105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Evropský protokol o stavu předmětu (Condition Report), Evropský protokol o bezpečnosti objektů (Facilities Report)</w:t>
      </w:r>
    </w:p>
    <w:p>
      <w:pPr>
        <w:keepNext w:val="0"/>
        <w:keepLines w:val="1"/>
        <w:framePr w:w="10766" w:h="3676" w:hRule="exact" w:wrap="none" w:vAnchor="page" w:hAnchor="margin" w:x="0" w:y="105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hlášení pojistné události</w:t>
      </w:r>
    </w:p>
    <w:p>
      <w:pPr>
        <w:keepNext w:val="0"/>
        <w:keepLines w:val="0"/>
        <w:framePr w:w="10766" w:h="3676"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6"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96"/>
        <w:rPr>
          <w:rStyle w:val="C3"/>
          <w:rtl w:val="0"/>
        </w:rPr>
      </w:pPr>
    </w:p>
    <w:p>
      <w:pPr>
        <w:pStyle w:val="P35"/>
        <w:framePr w:w="10710" w:h="340" w:hRule="exact" w:wrap="none" w:vAnchor="page" w:hAnchor="margin" w:x="28" w:y="14496"/>
        <w:rPr>
          <w:rStyle w:val="C25"/>
          <w:rtl w:val="0"/>
        </w:rPr>
      </w:pPr>
      <w:r>
        <w:rPr>
          <w:rStyle w:val="C25"/>
          <w:rtl w:val="0"/>
        </w:rPr>
        <w:t>Doba přípravy na zkoušku</w:t>
      </w:r>
    </w:p>
    <w:p>
      <w:pPr>
        <w:keepNext w:val="0"/>
        <w:keepLines w:val="0"/>
        <w:framePr w:w="10766" w:h="806" w:hRule="exact" w:wrap="none" w:vAnchor="page" w:hAnchor="margin" w:x="0" w:y="148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Výstavář/výstavářka, 30.4.2026 17:41:16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6 hodin (hodinou se rozumí 60 minut). </w:t>
      </w:r>
    </w:p>
    <w:p>
      <w:pPr>
        <w:pStyle w:val="P21"/>
        <w:framePr w:w="7654" w:h="331" w:hRule="exact" w:wrap="none" w:vAnchor="page" w:hAnchor="margin" w:x="28" w:y="15940"/>
        <w:rPr>
          <w:rStyle w:val="C16"/>
          <w:rtl w:val="0"/>
        </w:rPr>
      </w:pPr>
      <w:r>
        <w:rPr>
          <w:rStyle w:val="C16"/>
          <w:rtl w:val="0"/>
        </w:rPr>
        <w:t>Výstavář/výstavářka, 30.4.2026 17:41:16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galerie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muzeum</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Památník národního písemnictví </w:t>
      </w:r>
    </w:p>
    <w:p>
      <w:pPr>
        <w:pStyle w:val="P21"/>
        <w:framePr w:w="7654" w:h="331" w:hRule="exact" w:wrap="none" w:vAnchor="page" w:hAnchor="margin" w:x="28" w:y="15940"/>
        <w:rPr>
          <w:rStyle w:val="C16"/>
          <w:rtl w:val="0"/>
        </w:rPr>
      </w:pPr>
      <w:r>
        <w:rPr>
          <w:rStyle w:val="C16"/>
          <w:rtl w:val="0"/>
        </w:rPr>
        <w:t>Výstavář/výstavářka, 30.4.2026 17:41:16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531E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01F1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115CD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