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E40C1" Type="http://schemas.openxmlformats.org/officeDocument/2006/relationships/officeDocument" Target="/word/document.xml" /><Relationship Id="coreR8AE40C1" Type="http://schemas.openxmlformats.org/package/2006/relationships/metadata/core-properties" Target="/docProps/core.xml" /><Relationship Id="customR8AE4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finančního rozpočtu a kontrola čerpání finančních prostředků pro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činnostech při přípravě výstavy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výstavy nebo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Výstavář, 15.6.2026 3:09:09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zákoně č.137/2006 Sb., o veřejných zakázkách, ve znění pozdějších předpisů a příslušných prováděcích předpisech (vyjmenovat typy veřejných zakázek dle limitu a charakterizovat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zákoně č. 89/2012 Sb., občanský zákoník, ve znění pozdějších předpisů (uvést základní náležitosti smlouvy o dílo, kupní smlouvy, smlouvy o nájmu, výpůjční smlouvy a příkazní smlouvy)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1280" w:hRule="exact" w:wrap="none" w:vAnchor="page" w:hAnchor="margin" w:x="45" w:y="5189"/>
        <w:rPr>
          <w:rStyle w:val="C3"/>
          <w:rtl w:val="0"/>
        </w:rPr>
      </w:pPr>
    </w:p>
    <w:p>
      <w:pPr>
        <w:pStyle w:val="P13"/>
        <w:framePr w:w="6658" w:h="1153" w:hRule="exact" w:wrap="none" w:vAnchor="page" w:hAnchor="margin" w:x="71" w:y="5245"/>
        <w:rPr>
          <w:rStyle w:val="C11"/>
          <w:rtl w:val="0"/>
        </w:rPr>
      </w:pPr>
      <w:r>
        <w:rPr>
          <w:rStyle w:val="C11"/>
          <w:rtl w:val="0"/>
        </w:rPr>
        <w:t>c) Orientovat se v zákoně č. 309/2006 Sb., o bezpečnosti a ochraně zdraví při práci, ve znění pozdějších předpisů a příslušných prováděcích předpisech a metodikách (objasnit základní požadavky na pracoviště a pracovní prostředí, výrobní a pracovní prostředky a zařízení, organizaci práce a pracovní postupy, vyjmenovat základní pravidla bezpečnosti práce)</w:t>
      </w:r>
    </w:p>
    <w:p>
      <w:pPr>
        <w:pStyle w:val="P28"/>
        <w:framePr w:w="3921" w:h="1280" w:hRule="exact" w:wrap="none" w:vAnchor="page" w:hAnchor="margin" w:x="6800" w:y="5189"/>
        <w:rPr>
          <w:rStyle w:val="C3"/>
          <w:rtl w:val="0"/>
        </w:rPr>
      </w:pPr>
    </w:p>
    <w:p>
      <w:pPr>
        <w:pStyle w:val="P29"/>
        <w:framePr w:w="3839" w:h="1153"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zákoně 122/2000 Sb., o ochraně sbírek muzejní povahy, včetně metodického pokynu Ministerstva kultury</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Stanovení finančního rozpočtu a kontrola čerpání finančních prostředků pro výstavy</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Vytvořit modelový rozpočet na výstavu za stanovenou konkrétní finanční částku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w:t>
      </w:r>
    </w:p>
    <w:p>
      <w:pPr>
        <w:pStyle w:val="P16"/>
        <w:framePr w:w="6710" w:h="376" w:hRule="exact" w:wrap="none" w:vAnchor="page" w:hAnchor="margin" w:x="45" w:y="9047"/>
        <w:rPr>
          <w:rStyle w:val="C3"/>
          <w:rtl w:val="0"/>
        </w:rPr>
      </w:pPr>
    </w:p>
    <w:p>
      <w:pPr>
        <w:pStyle w:val="P17"/>
        <w:framePr w:w="6658" w:h="249" w:hRule="exact" w:wrap="none" w:vAnchor="page" w:hAnchor="margin" w:x="71" w:y="9103"/>
        <w:rPr>
          <w:rStyle w:val="C13"/>
          <w:rtl w:val="0"/>
        </w:rPr>
      </w:pPr>
      <w:r>
        <w:rPr>
          <w:rStyle w:val="C13"/>
          <w:rtl w:val="0"/>
        </w:rPr>
        <w:t>b) Zpracovat modelovou objednávku zboží nebo služeb</w:t>
      </w:r>
    </w:p>
    <w:p>
      <w:pPr>
        <w:pStyle w:val="P30"/>
        <w:framePr w:w="3921" w:h="376" w:hRule="exact" w:wrap="none" w:vAnchor="page" w:hAnchor="margin" w:x="6800" w:y="9047"/>
        <w:rPr>
          <w:rStyle w:val="C3"/>
          <w:rtl w:val="0"/>
        </w:rPr>
      </w:pPr>
    </w:p>
    <w:p>
      <w:pPr>
        <w:pStyle w:val="P31"/>
        <w:framePr w:w="3839" w:h="249" w:hRule="exact" w:wrap="none" w:vAnchor="page" w:hAnchor="margin" w:x="6856" w:y="9103"/>
        <w:rPr>
          <w:rStyle w:val="C22"/>
          <w:rtl w:val="0"/>
        </w:rPr>
      </w:pPr>
      <w:r>
        <w:rPr>
          <w:rStyle w:val="C22"/>
          <w:rtl w:val="0"/>
        </w:rPr>
        <w:t>Praktické předvedení</w:t>
      </w:r>
    </w:p>
    <w:p>
      <w:pPr>
        <w:pStyle w:val="P12"/>
        <w:framePr w:w="6710" w:h="376" w:hRule="exact" w:wrap="none" w:vAnchor="page" w:hAnchor="margin" w:x="45" w:y="9423"/>
        <w:rPr>
          <w:rStyle w:val="C3"/>
          <w:rtl w:val="0"/>
        </w:rPr>
      </w:pPr>
    </w:p>
    <w:p>
      <w:pPr>
        <w:pStyle w:val="P13"/>
        <w:framePr w:w="6658" w:h="249" w:hRule="exact" w:wrap="none" w:vAnchor="page" w:hAnchor="margin" w:x="71" w:y="9479"/>
        <w:rPr>
          <w:rStyle w:val="C11"/>
          <w:rtl w:val="0"/>
        </w:rPr>
      </w:pPr>
      <w:r>
        <w:rPr>
          <w:rStyle w:val="C11"/>
          <w:rtl w:val="0"/>
        </w:rPr>
        <w:t>c) Popsat základní náležitosti dodavatelských faktur</w:t>
      </w:r>
    </w:p>
    <w:p>
      <w:pPr>
        <w:pStyle w:val="P28"/>
        <w:framePr w:w="3921" w:h="376" w:hRule="exact" w:wrap="none" w:vAnchor="page" w:hAnchor="margin" w:x="6800" w:y="9423"/>
        <w:rPr>
          <w:rStyle w:val="C3"/>
          <w:rtl w:val="0"/>
        </w:rPr>
      </w:pPr>
    </w:p>
    <w:p>
      <w:pPr>
        <w:pStyle w:val="P29"/>
        <w:framePr w:w="3839" w:h="249" w:hRule="exact" w:wrap="none" w:vAnchor="page" w:hAnchor="margin" w:x="6856" w:y="9479"/>
        <w:rPr>
          <w:rStyle w:val="C21"/>
          <w:rtl w:val="0"/>
        </w:rPr>
      </w:pPr>
      <w:r>
        <w:rPr>
          <w:rStyle w:val="C21"/>
          <w:rtl w:val="0"/>
        </w:rPr>
        <w:t>Písemné ověření</w:t>
      </w:r>
    </w:p>
    <w:p>
      <w:pPr>
        <w:pStyle w:val="P16"/>
        <w:framePr w:w="6710" w:h="376" w:hRule="exact" w:wrap="none" w:vAnchor="page" w:hAnchor="margin" w:x="45" w:y="9800"/>
        <w:rPr>
          <w:rStyle w:val="C3"/>
          <w:rtl w:val="0"/>
        </w:rPr>
      </w:pPr>
    </w:p>
    <w:p>
      <w:pPr>
        <w:pStyle w:val="P17"/>
        <w:framePr w:w="6658" w:h="249" w:hRule="exact" w:wrap="none" w:vAnchor="page" w:hAnchor="margin" w:x="71" w:y="9856"/>
        <w:rPr>
          <w:rStyle w:val="C13"/>
          <w:rtl w:val="0"/>
        </w:rPr>
      </w:pPr>
      <w:r>
        <w:rPr>
          <w:rStyle w:val="C13"/>
          <w:rtl w:val="0"/>
        </w:rPr>
        <w:t>d) Přijmout a zkontrolovat dodavatelskou fakturu</w:t>
      </w:r>
    </w:p>
    <w:p>
      <w:pPr>
        <w:pStyle w:val="P30"/>
        <w:framePr w:w="3921" w:h="376" w:hRule="exact" w:wrap="none" w:vAnchor="page" w:hAnchor="margin" w:x="6800" w:y="9800"/>
        <w:rPr>
          <w:rStyle w:val="C3"/>
          <w:rtl w:val="0"/>
        </w:rPr>
      </w:pPr>
    </w:p>
    <w:p>
      <w:pPr>
        <w:pStyle w:val="P31"/>
        <w:framePr w:w="3839" w:h="249" w:hRule="exact" w:wrap="none" w:vAnchor="page" w:hAnchor="margin" w:x="6856" w:y="9856"/>
        <w:rPr>
          <w:rStyle w:val="C22"/>
          <w:rtl w:val="0"/>
        </w:rPr>
      </w:pPr>
      <w:r>
        <w:rPr>
          <w:rStyle w:val="C22"/>
          <w:rtl w:val="0"/>
        </w:rPr>
        <w:t>Praktické předvedení</w:t>
      </w:r>
    </w:p>
    <w:p>
      <w:pPr>
        <w:pStyle w:val="P32"/>
        <w:framePr w:w="10710" w:h="248" w:hRule="exact" w:wrap="none" w:vAnchor="page" w:hAnchor="margin" w:x="28" w:y="10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15.6.2026 3:09:09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při přípravě výstavy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objasnit základní metody a pravidla aranžování sbírkových předmětů dle jejich vlastností (např. archiválie, historické knihy, archeologický materiál, přírodniny, hudební nástroje, numizmatický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základní způsoby aranžování sbírkových předmětů (např. historické knihy, vázy, sochy, textilie, šaty, boty, vějíře)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a prostředky monitorování a měření prostředí ve výstavních sálech a výstavních vitrínách; předvést měření vlhkosti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objasnit základní faktory ohrožující sbírky, včetně preventivních opatření pro jejich minimalizaci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základní typy výstavního mobiliáře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Předvést manipulaci s větším a menším sbírkovým předmětem a popsat základní pravidla pro manipulaci se sbírkovými předměty při přípravě výstavy a jejich transportu</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Zpracovat časový harmonogram výstavy (posloupnost v čase přípravy a realizace výstavy) a realizační plán výstavy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Vyplnit standardizovaný evropský protokol o bezpečnosti objektů (facilities report)</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042"/>
        <w:rPr>
          <w:rStyle w:val="C3"/>
          <w:rtl w:val="0"/>
        </w:rPr>
      </w:pPr>
    </w:p>
    <w:p>
      <w:pPr>
        <w:pStyle w:val="P13"/>
        <w:framePr w:w="6658" w:h="704" w:hRule="exact" w:wrap="none" w:vAnchor="page" w:hAnchor="margin" w:x="71" w:y="8098"/>
        <w:rPr>
          <w:rStyle w:val="C11"/>
          <w:rtl w:val="0"/>
        </w:rPr>
      </w:pPr>
      <w:r>
        <w:rPr>
          <w:rStyle w:val="C11"/>
          <w:rtl w:val="0"/>
        </w:rPr>
        <w:t>i) Popsat práci s obsahem výpůjční smlouvy a dle smluvních požadavků vysvětlit konkrétní způsob zacházení s předměty, aby byly splněny smluvní výpůjční podmínky</w:t>
      </w:r>
    </w:p>
    <w:p>
      <w:pPr>
        <w:pStyle w:val="P28"/>
        <w:framePr w:w="3921" w:h="831" w:hRule="exact" w:wrap="none" w:vAnchor="page" w:hAnchor="margin" w:x="6800" w:y="8042"/>
        <w:rPr>
          <w:rStyle w:val="C3"/>
          <w:rtl w:val="0"/>
        </w:rPr>
      </w:pPr>
    </w:p>
    <w:p>
      <w:pPr>
        <w:pStyle w:val="P29"/>
        <w:framePr w:w="3839" w:h="704" w:hRule="exact" w:wrap="none" w:vAnchor="page" w:hAnchor="margin" w:x="6856" w:y="8098"/>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Popsat druhy a nápň práce řemeslných oborů aplikovaných při výstavní činnosti</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Provádění realizačních činností výstavy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přípravu podkladů pro zadání veřejné zakázky na dodávku zboží nebo služby a objasnit postup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Písemné a ústní ověření</w:t>
      </w:r>
    </w:p>
    <w:p>
      <w:pPr>
        <w:pStyle w:val="P16"/>
        <w:framePr w:w="6710" w:h="1055" w:hRule="exact" w:wrap="none" w:vAnchor="page" w:hAnchor="margin" w:x="45" w:y="11452"/>
        <w:rPr>
          <w:rStyle w:val="C3"/>
          <w:rtl w:val="0"/>
        </w:rPr>
      </w:pPr>
    </w:p>
    <w:p>
      <w:pPr>
        <w:pStyle w:val="P17"/>
        <w:framePr w:w="6658" w:h="928" w:hRule="exact" w:wrap="none" w:vAnchor="page" w:hAnchor="margin" w:x="71" w:y="11508"/>
        <w:rPr>
          <w:rStyle w:val="C13"/>
          <w:rtl w:val="0"/>
        </w:rPr>
      </w:pPr>
      <w:r>
        <w:rPr>
          <w:rStyle w:val="C13"/>
          <w:rtl w:val="0"/>
        </w:rPr>
        <w:t xml:space="preserve">b) Vytvořit modelovou obsahovou strukturu lokačního seznamu exponátů v expozici nebo na výstavě  v prostředí tabulkového procesoru (např. MS Excell), zdůvodnit tuto strukturu a popsat, jakým způsobem budou do ní zadávána data</w:t>
      </w:r>
    </w:p>
    <w:p>
      <w:pPr>
        <w:pStyle w:val="P30"/>
        <w:framePr w:w="3921" w:h="1055" w:hRule="exact" w:wrap="none" w:vAnchor="page" w:hAnchor="margin" w:x="6800" w:y="11452"/>
        <w:rPr>
          <w:rStyle w:val="C3"/>
          <w:rtl w:val="0"/>
        </w:rPr>
      </w:pPr>
    </w:p>
    <w:p>
      <w:pPr>
        <w:pStyle w:val="P31"/>
        <w:framePr w:w="3839" w:h="928"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c) Předvést práci se stavebním deníkem, objasnit jeho náležitosti a význam</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Objasnit postup kolaudace výstavy nebo expozice</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Stanovit technické parametry výstavy na základě předloženého technického výkresu výstavy</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Vyplnit standardizovaný evropský protokol o stavu předmětu (condition report) jak za přebírajícího, tak předávajícího</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15.6.2026 3:09:09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výstavy nebo expozice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Popsat základní pravidla BOZP a požární ochrany při tvorbě výstavy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Písemné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základní hygienická opatření, zásady a předpisy bezpečnosti práce při stavbě výstavy (použití chemikálií, práce s elektrickým nářadím, svařování)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Písemné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postup při zjištění poškození či ztráty sbírkového předmětu z výstavy, včetně pravidel pro hlášení pojistné události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Popsat základní typy preventivní konzervace sbírkových předmětů z hlediska režimů provozu výstavy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15.6.2026 3:09:09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ve speciálních právních normách ve vztahu k přípravě výstav a expozic uchazeč prokáže orientaci v základních právních předpisech týkajích se této kvalifikace.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zajistí vytištěné příslušné právní předpisy v aktuálním znění.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Stanovení finančního rozpočtu a kontrola čerpání finančních prostředků pro výstavy a Orientace v činnostech při přípravě výstavy uchazeč prokáže znalost financování a přípravy výstav, základní znalost o manipulaci se sbírkovými předměty, monitorování prostředí a znalost výstavního mobiliáře.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zajistí vzor dodavatelské faktury a vzorový projekt výstavy.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realizačních činností výstavy uchazeč prokáže zejména praktické znalosti z oblasti realizace výstav, základní znalost přípravy podkladů pro zadání veřejné zakázky, znalost práce s tabulkovým procesorem, praktické čtení stavebního deníku.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příslušnou vzorovou dokumentaci k provedení zkoušky (scénář a projekt výstavy, technický výkres, stavební deník).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Zajištění bezpečnosti výstavy nebo expozice uchazeč prokáže základní znalosti bezpečnosti konání výstavy a pohybu návštěvníků.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vzorový plán výstavy.</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Výstavář, 15.6.2026 3:09:09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 pozici v oblasti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managementu, stavitelství, ekonomie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řídicích pozicích v oblasti obecného managementu sbírkové instituce, managementu stavby a provozu výstav a expozic, nebo ve funkci učitele odborných předmětů v oblasti muzeologie, řízení kulturní instituce, obecného managementu, architektury, stavitelství,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 + střední vzdělání s maturitní zkouškou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www.mkcr.cz. </w:t>
      </w:r>
    </w:p>
    <w:p>
      <w:pPr>
        <w:pStyle w:val="P33"/>
        <w:framePr w:w="10766" w:h="4247"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•vytištěné příslušné právní předpisy v aktuálním znění ke kompetenci Orientace ve speciálních právních normách ve vztahu k přípravě výstav a expozic</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•historické knihy, vázy, sochy, textilie, šaty, boty, vějíře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indikátory pro monitoring klimatu</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Výstavář, 15.6.2026 3:09:09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Výstavář, 15.6.2026 3:09:09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 15.6.2026 3:09:09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E7C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CD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8799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