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A0925" Type="http://schemas.openxmlformats.org/officeDocument/2006/relationships/officeDocument" Target="/word/document.xml" /><Relationship Id="coreR56CA0925" Type="http://schemas.openxmlformats.org/package/2006/relationships/metadata/core-properties" Target="/docProps/core.xml" /><Relationship Id="customR56CA0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23-104-M Strojírenský technik konstruktér / strojírenská technička konstruktérka a střední vzdělání s maturitní zkouškou a alespoň 5 let odborné praxe v oblasti konstrukce ve strojírenské výrobě.</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48"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27.10.2026 1:31:21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DE3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85DD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