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9BDD63" Type="http://schemas.openxmlformats.org/officeDocument/2006/relationships/officeDocument" Target="/word/document.xml" /><Relationship Id="coreR7E9BDD63" Type="http://schemas.openxmlformats.org/package/2006/relationships/metadata/core-properties" Target="/docProps/core.xml" /><Relationship Id="customR7E9BDD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pro internet, multimédia a nová média (kód: 66-032-M)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pro internet, multimédia a nová média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vhodných míst a časů pro umístění reklamních sdělení na internetu, v multimédiích a nových médiích s ohledem na zadání klienta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Zpracování plánu nákupu internetových médií, multimédií a nových médií na základě zadání klienta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rozpočtů nákupu internetových médií, multimédií a nových médií včetně vyjednání cen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odborném mediálním názvosloví z oblasti internetu, multimédií a nových médií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Získávání aktuálních dat a informací z internetu, multimédií a nových médií potřebných k rozhodování o umístění reklamních sdělení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14.10.2015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pro internet, multimédia a nová média, 29.10.2026 0:53:02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5 modelových zadání kampaně pro ověření kompetencí: 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Výběr vhodných míst a časů pro umístění reklamních sdělení na internetu, v multimédiích a nových médiích s ohledem na zadání klienta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Zpracování plánu nákupu internetových médií, multimédií a nových médií na základě zadání klienta 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Zpracování rozpočtů nákupu internetových médií, multimédií a nových médií včetně vyjednání cen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Získávání aktuálních dat a informací z internetu, multimédií a nových médií potřebných pro rozhodování o umístění reklamních sdělení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5 předložených modelových zadání kampaně.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Jednotlivé kompetence, znalosti a způsobilosti uchazeče jsou ověřovány při modelovém nákupu internetových médií, multimédií a nových médií. 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odborném mediálním názvosloví z oblasti internetových médií, multimédií a nových médií uchazeč vysvětlí význam 5 odborných výrazů zadaných autorizovanou osobou u každého z kritérií hodnocení.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pro internet, multimédia a nová média, 29.10.2026 0:53:02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Smart-Point,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pro internet, multimédia a nová média, 29.10.2026 0:53:02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