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8DB47" Type="http://schemas.openxmlformats.org/officeDocument/2006/relationships/officeDocument" Target="/word/document.xml" /><Relationship Id="coreR73F8DB47" Type="http://schemas.openxmlformats.org/package/2006/relationships/metadata/core-properties" Target="/docProps/core.xml" /><Relationship Id="customR73F8DB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pro internet, multimédia a nová média (kód: 66-032-M)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pro internet, multimédia a nová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míst a časů pro umístění reklamních sdělení na internetu, v multimédiích a nových médiích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internetových médií, multimédií a nových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internetových médií, multimédií a nových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internetu, multimédií a nových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internetu, multimédií a nových médií potřebných k rozhodování o umístění reklamních sdělení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28.10.2026 22:18:59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míst a časů pro umístění reklamních sdělení na internetu, v multimédiích a nových médiích s ohledem na zadání klienta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Zpracování plánu nákupu internetových médií, multimédií a nových médií na základě zadání klienta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internetových médií, multimédií a nových médií včetně vyjednání cen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internetu, multimédií a nových médií potřebných pro rozhodování o umístění reklamních sdělení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Jednotlivé kompetence, znalosti a způsobilosti uchazeče se ověřují při modelovém nákupu internetových médií, multimédií a nových médií.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internetových médií, multimédií a nových médií uchazeč vysvětlí význam 5 odborných výrazů zadaných autorizovanou osobou u každého z kritérií hodnocení.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28.10.2026 22:18:59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28.10.2026 22:18:59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