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AE3F6" Type="http://schemas.openxmlformats.org/officeDocument/2006/relationships/officeDocument" Target="/word/document.xml" /><Relationship Id="coreR688AE3F6" Type="http://schemas.openxmlformats.org/package/2006/relationships/metadata/core-properties" Target="/docProps/core.xml" /><Relationship Id="customR688AE3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tiskových médií a počtu opakování pro umístění reklamních sdělení s ohledem na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plánu nákupu tiskových médií na základě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rozpočtu nákupu tiskových médií včetně vyjednání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tiskových médií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tiskových médií potřebných k rozhodování o umístění reklamních sdělení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30.10.2026 16:01:19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tiskových médií a počtu opakování pro umístění reklamních sdělení s ohledem na zadání klienta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tiskových médií na základě zadání klienta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rozpočtu nákupu tiskových médií včetně vyjednání cen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tiskových médií potřebných k rozhodování o umístění reklamních sdělení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se ověřují při modelovém nákupu tiskových médií.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tiskových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30.10.2026 16:01:19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30.10.2026 16:01:19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