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37A30" Type="http://schemas.openxmlformats.org/officeDocument/2006/relationships/officeDocument" Target="/word/document.xml" /><Relationship Id="coreR9F37A30" Type="http://schemas.openxmlformats.org/package/2006/relationships/metadata/core-properties" Target="/docProps/core.xml" /><Relationship Id="customR9F37A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elektronické publikování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obrazových podkladů pro elektronické publikování a grafické zpracování multimediální prezentace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podkladů pro elektronické publikování pomocí aplikačních programů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elektronického publikování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Správa dat a archivace multimediální prezentace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Elektronické publikování multimediální prezentace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10.10.2026 10:00:36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a to s ohledem na 2. stupeň zátěže,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doložit, že absolvoval střední vzdělání s výučním listem v oboru vzdělání Reprodukční grafik, nebo že získal PK Operátor DTP, nebo že absolvoval minimálně střední vzdělání s maturitní zkouškou v oboru vzdělání v oblasti grafické výroby.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elektronického publikování.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obsahujících soubor podkladů pro zpracování zadaného multimediálního projektu. Uchazeč si před zahájením zkoušky vylosuje jedno z předložených zadání. Uchazeč nemá během zkoušky přístup na veřejnou síť (Internet).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10.10.2026 10:00:36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 Brno, Šmahova 110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Zaraguza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 pro digitální média, 10.10.2026 10:00:36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