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B1B4DC" Type="http://schemas.openxmlformats.org/officeDocument/2006/relationships/officeDocument" Target="/word/document.xml" /><Relationship Id="coreR78B1B4DC" Type="http://schemas.openxmlformats.org/package/2006/relationships/metadata/core-properties" Target="/docProps/core.xml" /><Relationship Id="customR78B1B4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nápojů (kód: 29-074-H)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ovocných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ovocných polotovarů a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parametrů pro optimální provoz zařízení pro výrobu ovocných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výrobu ovocných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ovocného nápoje k plnicímu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evidence při výrobě ovocných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ovocných nápojů,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nápojů, 27.10.2026 3:07:24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ovocných nápojů.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 a PO a hygienicko-sanitačních principů, které zajistí odpovídající kvalitu potravinářského výrobku.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 a polotovarů,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bezpečnostních předpisů a zásad bezpečnosti potravin v konzervárenském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ověřuje v průběhu celé zkoušky.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nápojů, 27.10.2026 3:07:24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 s. r. o. 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nápojů, 27.10.2026 3:07:24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