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4CF8" Type="http://schemas.openxmlformats.org/officeDocument/2006/relationships/officeDocument" Target="/word/document.xml" /><Relationship Id="coreR1014CF8" Type="http://schemas.openxmlformats.org/package/2006/relationships/metadata/core-properties" Target="/docProps/core.xml" /><Relationship Id="customR1014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 a ústní ověření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účetní uzávěrku dne a vyhotovit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České pošty, s. p.</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Autorizovaná osoba musí mít připravenou sadu minimálně 10 modelových situací, prostřednictvím nichž bude ověřovat kritéria a), b) u kompetence Prodej doplňkového zboží a cenin, kritérium b), c) u kompetence Pokladní činnost, kritérium c) u kompetence Plánování objemu finančních hotovostí a cenin na poště, kritéria c), d) u kompetence Realizace pokladní činnosti, práce v pokladně pošty, kritéria a), b), c), d) u kompetence Výdej přídělů a přejímka odvodů peněžních hotovostí a cenin pro jednotlivá pracoviště pošty.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pokladní službě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Pokladník pošty , 1.11.2026 2:34:50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A7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9E20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