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AC24C" Type="http://schemas.openxmlformats.org/officeDocument/2006/relationships/officeDocument" Target="/word/document.xml" /><Relationship Id="coreR577AC24C" Type="http://schemas.openxmlformats.org/package/2006/relationships/metadata/core-properties" Target="/docProps/core.xml" /><Relationship Id="customR577AC2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Směnař v poštovním provozu 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prostřednictvím nichž bude ověřovat kritérium e) u kompetence Řešení a odstraňování nepravidelností, kritéria a), b), c) u kompetence Organizace, řízení a kontrola provozu svěřeného pracoviště s ohledem na zajištění optimální produktivity práce, dále kritérium b) u kompetence Zapracování pracovníků do poštovního provozu, kritéria a), b), c) u kompetence Orientace v provozních předpisech a poštovních podmínkách včetně znalosti BOZP.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 v poštovním provozu , 2.8.2026 3:40:26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