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22A2DD" Type="http://schemas.openxmlformats.org/officeDocument/2006/relationships/officeDocument" Target="/word/document.xml" /><Relationship Id="coreR6122A2DD" Type="http://schemas.openxmlformats.org/package/2006/relationships/metadata/core-properties" Target="/docProps/core.xml" /><Relationship Id="customR6122A2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Směnař v poštovním provozu  (kód: 37-048-M)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Směnař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Organizace, řízení a kontrola provozu svěřeného pracoviště s ohledem na zajištění optimální produktivity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Řešení a odstraňování nepravidelností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Vydávání a úschova denních razítek a pracovních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technologické kázně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Evidence příjezdu a odjezdu poštovních kurzů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5 modelových situací, prostřednictvím nichž bude ověřovat kritérium e) u kompetence Řešení a odstraňování nepravidelností, kritéria a), b), c) u kompetence Organizace, řízení a kontrola provozu svěřeného pracoviště s ohledem na zajištění optimální produktivity práce, dále kritérium b) u kompetence Zapracování pracovníků do poštovního provozu, kritéria a), b), c) u kompetence Orientace v provozních předpisech a poštovních podmínkách včetně znalosti BOZP.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