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46B21" Type="http://schemas.openxmlformats.org/officeDocument/2006/relationships/officeDocument" Target="/word/document.xml" /><Relationship Id="coreRFB46B21" Type="http://schemas.openxmlformats.org/package/2006/relationships/metadata/core-properties" Target="/docProps/core.xml" /><Relationship Id="customRFB46B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http://katalog.nsp.cz/karta_tp.aspx?id_jp=101970).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pokrmů.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konat v reálném pracovním prostředí ‒ výdejna jídel, catering apod.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pokrmů bude provedna nejméně u 50 pokrmů, přičemž budou ověřena všechna předepsaná kritéria.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