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448B5" Type="http://schemas.openxmlformats.org/officeDocument/2006/relationships/officeDocument" Target="/word/document.xml" /><Relationship Id="coreRC3448B5" Type="http://schemas.openxmlformats.org/package/2006/relationships/metadata/core-properties" Target="/docProps/core.xml" /><Relationship Id="customRC3448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mlékárenství (kód: 29-082-M)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výrobní linky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směny a zajištění chodu mlékárenské nebo sýrařské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zajištění bezpečnosti potravin v mlékárenské nebo sýrařské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mlékárenství,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mlékárenského/sýrařského provozu.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krit. b) zadá zkoušející pro nakreslení blokového schématu výroby a popsání technologického postupu jakýkoli mlékárenský výrobek.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"Organizace směny a zajištění chodu mlékárenské/sýrařské výroby" probíhá v mlékárenském provozu, výrobní linku nebo pracoviště určí zkoušející podle daných organizačních možností.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b) a d) vybere zkoušející jakýkoli mlékárenský výrobek, který provozovna zpracovává.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připraví zkoušející pro zkoušku případovou studii pro jakýkoli mlékárenský výrobek, na které kritérium f) ověří.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g) připraví zkoušející pro zkoušku případovou studii nesplnění technologických kritérií u mlékárenského výrobku (např. při nedodržení obsahu tuku a sušiny).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mlékárenství" kritéria d) uchazeč vyjmenuje ochranné pomůcky a popíše způsob jejich použití.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mlékárenství" uchazeč popíše způsob nakládání s odpady v mlékárenském provozu, ve kterém skládá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mlékárenství,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mlékárenství,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