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432E7C" Type="http://schemas.openxmlformats.org/officeDocument/2006/relationships/officeDocument" Target="/word/document.xml" /><Relationship Id="coreR73432E7C" Type="http://schemas.openxmlformats.org/package/2006/relationships/metadata/core-properties" Target="/docProps/core.xml" /><Relationship Id="customR73432E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19.08.2020</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Písemné a 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Stanovit technologický postup pro určený mlékárenský výrobek; sestavit recepturu a sestavit technicko-hospodářskou normu (THN)</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mlékárenských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způsoby uvádění povinných a nepovinných údajů na označení výrobků</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Písemné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Vývoj nových mlékárenských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postup při navrhování nového výrobku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Navrhnout postup inovace výrobku z pohledu procesního, technologického, z pohledu úpravy receptury, z pohledu nového způsobu balení. Popsat tyto kroky na příkladu konkrétního výrobku</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Navrhnout způsob označení nového výrobku z pohledu platné potravinářské legislativy</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Optimalizace portfolia mlékárenských výrobků</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Posoudit předložené portfolio mlékárenských výrobků s ohledem na efektivitu výroby při zachování kvality a bezpečnosti výrobků</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 a ústní ověření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c) Uvést způsob monitoringu konkurenčních výrobků na trhu a posoudit atributy úspěšných konkurečních výrobků</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uvádění do provozu nových strojně-technologických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výměny nebo úpravy strojní technologie pro výrobu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Zajišťování sanitace a provozní hygieny v mlékárenství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Uvést požadavky na správnou hygienickou praxi v mlékárenství</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831" w:hRule="exact" w:wrap="none" w:vAnchor="page" w:hAnchor="margin" w:x="45" w:y="7811"/>
        <w:rPr>
          <w:rStyle w:val="C3"/>
          <w:rtl w:val="0"/>
        </w:rPr>
      </w:pPr>
    </w:p>
    <w:p>
      <w:pPr>
        <w:pStyle w:val="P17"/>
        <w:framePr w:w="6658" w:h="704" w:hRule="exact" w:wrap="none" w:vAnchor="page" w:hAnchor="margin" w:x="71" w:y="7867"/>
        <w:rPr>
          <w:rStyle w:val="C13"/>
          <w:rtl w:val="0"/>
        </w:rPr>
      </w:pPr>
      <w:r>
        <w:rPr>
          <w:rStyle w:val="C13"/>
          <w:rtl w:val="0"/>
        </w:rPr>
        <w:t>d) Zkontrolovat dodržování hygienických předpisů a osobní hygieny zaměstnanců (platnost zdravotních průkazů, lékařské prohlídky, kontrola dodržování cyklů výměny pracovních oděvů v mlékárenské výrobě apod.</w:t>
      </w:r>
    </w:p>
    <w:p>
      <w:pPr>
        <w:pStyle w:val="P30"/>
        <w:framePr w:w="3921" w:h="831" w:hRule="exact" w:wrap="none" w:vAnchor="page" w:hAnchor="margin" w:x="6800" w:y="7811"/>
        <w:rPr>
          <w:rStyle w:val="C3"/>
          <w:rtl w:val="0"/>
        </w:rPr>
      </w:pPr>
    </w:p>
    <w:p>
      <w:pPr>
        <w:pStyle w:val="P31"/>
        <w:framePr w:w="3839" w:h="704"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755"/>
        <w:rPr>
          <w:rStyle w:val="C23"/>
          <w:rtl w:val="0"/>
        </w:rPr>
      </w:pPr>
      <w:r>
        <w:rPr>
          <w:rStyle w:val="C23"/>
          <w:rtl w:val="0"/>
        </w:rPr>
        <w:t>Je třeba splnit všechna kritéria.</w:t>
      </w:r>
    </w:p>
    <w:p>
      <w:pPr>
        <w:pStyle w:val="P23"/>
        <w:framePr w:w="10710" w:h="340" w:hRule="exact" w:wrap="none" w:vAnchor="page" w:hAnchor="margin" w:x="28" w:y="9191"/>
        <w:rPr>
          <w:rStyle w:val="C18"/>
          <w:rtl w:val="0"/>
        </w:rPr>
      </w:pPr>
      <w:r>
        <w:rPr>
          <w:rStyle w:val="C18"/>
          <w:rtl w:val="0"/>
        </w:rPr>
        <w:t>Dodržování zásad BOZP a PO v mlékárenství</w:t>
      </w:r>
    </w:p>
    <w:p>
      <w:pPr>
        <w:pStyle w:val="P24"/>
        <w:framePr w:w="6713" w:h="376" w:hRule="exact" w:wrap="none" w:vAnchor="page" w:hAnchor="margin" w:x="45" w:y="9630"/>
        <w:rPr>
          <w:rStyle w:val="C3"/>
          <w:rtl w:val="0"/>
        </w:rPr>
      </w:pPr>
    </w:p>
    <w:p>
      <w:pPr>
        <w:pStyle w:val="P25"/>
        <w:framePr w:w="6661" w:h="249" w:hRule="exact" w:wrap="none" w:vAnchor="page" w:hAnchor="margin" w:x="71" w:y="9701"/>
        <w:rPr>
          <w:rStyle w:val="C19"/>
          <w:rtl w:val="0"/>
        </w:rPr>
      </w:pPr>
      <w:r>
        <w:rPr>
          <w:rStyle w:val="C19"/>
          <w:rtl w:val="0"/>
        </w:rPr>
        <w:t>Kritéria hodnocení</w:t>
      </w:r>
    </w:p>
    <w:p>
      <w:pPr>
        <w:pStyle w:val="P26"/>
        <w:framePr w:w="3918" w:h="376" w:hRule="exact" w:wrap="none" w:vAnchor="page" w:hAnchor="margin" w:x="6803" w:y="9630"/>
        <w:rPr>
          <w:rStyle w:val="C3"/>
          <w:rtl w:val="0"/>
        </w:rPr>
      </w:pPr>
    </w:p>
    <w:p>
      <w:pPr>
        <w:pStyle w:val="P27"/>
        <w:framePr w:w="3836" w:h="249" w:hRule="exact" w:wrap="none" w:vAnchor="page" w:hAnchor="margin" w:x="6859" w:y="9701"/>
        <w:rPr>
          <w:rStyle w:val="C20"/>
          <w:rtl w:val="0"/>
        </w:rPr>
      </w:pPr>
      <w:r>
        <w:rPr>
          <w:rStyle w:val="C20"/>
          <w:rtl w:val="0"/>
        </w:rPr>
        <w:t>Způsoby ověření</w:t>
      </w:r>
    </w:p>
    <w:p>
      <w:pPr>
        <w:pStyle w:val="P12"/>
        <w:framePr w:w="6710" w:h="1055" w:hRule="exact" w:wrap="none" w:vAnchor="page" w:hAnchor="margin" w:x="45" w:y="10006"/>
        <w:rPr>
          <w:rStyle w:val="C3"/>
          <w:rtl w:val="0"/>
        </w:rPr>
      </w:pPr>
    </w:p>
    <w:p>
      <w:pPr>
        <w:pStyle w:val="P13"/>
        <w:framePr w:w="6658" w:h="928" w:hRule="exact" w:wrap="none" w:vAnchor="page" w:hAnchor="margin" w:x="71" w:y="10062"/>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10006"/>
        <w:rPr>
          <w:rStyle w:val="C3"/>
          <w:rtl w:val="0"/>
        </w:rPr>
      </w:pPr>
    </w:p>
    <w:p>
      <w:pPr>
        <w:pStyle w:val="P29"/>
        <w:framePr w:w="3839" w:h="928" w:hRule="exact" w:wrap="none" w:vAnchor="page" w:hAnchor="margin" w:x="6856" w:y="10062"/>
        <w:rPr>
          <w:rStyle w:val="C21"/>
          <w:rtl w:val="0"/>
        </w:rPr>
      </w:pPr>
      <w:r>
        <w:rPr>
          <w:rStyle w:val="C21"/>
          <w:rtl w:val="0"/>
        </w:rPr>
        <w:t>Ústní ověření</w:t>
      </w:r>
    </w:p>
    <w:p>
      <w:pPr>
        <w:pStyle w:val="P16"/>
        <w:framePr w:w="6710" w:h="607" w:hRule="exact" w:wrap="none" w:vAnchor="page" w:hAnchor="margin" w:x="45" w:y="11061"/>
        <w:rPr>
          <w:rStyle w:val="C3"/>
          <w:rtl w:val="0"/>
        </w:rPr>
      </w:pPr>
    </w:p>
    <w:p>
      <w:pPr>
        <w:pStyle w:val="P17"/>
        <w:framePr w:w="6658" w:h="480" w:hRule="exact" w:wrap="none" w:vAnchor="page" w:hAnchor="margin" w:x="71" w:y="1111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11061"/>
        <w:rPr>
          <w:rStyle w:val="C3"/>
          <w:rtl w:val="0"/>
        </w:rPr>
      </w:pPr>
    </w:p>
    <w:p>
      <w:pPr>
        <w:pStyle w:val="P31"/>
        <w:framePr w:w="3839" w:h="480" w:hRule="exact" w:wrap="none" w:vAnchor="page" w:hAnchor="margin" w:x="6856" w:y="11117"/>
        <w:rPr>
          <w:rStyle w:val="C22"/>
          <w:rtl w:val="0"/>
        </w:rPr>
      </w:pPr>
      <w:r>
        <w:rPr>
          <w:rStyle w:val="C22"/>
          <w:rtl w:val="0"/>
        </w:rPr>
        <w:t>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16"/>
        <w:framePr w:w="6710" w:h="607" w:hRule="exact" w:wrap="none" w:vAnchor="page" w:hAnchor="margin" w:x="45" w:y="12275"/>
        <w:rPr>
          <w:rStyle w:val="C3"/>
          <w:rtl w:val="0"/>
        </w:rPr>
      </w:pPr>
    </w:p>
    <w:p>
      <w:pPr>
        <w:pStyle w:val="P17"/>
        <w:framePr w:w="6658" w:h="480" w:hRule="exact" w:wrap="none" w:vAnchor="page" w:hAnchor="margin" w:x="71" w:y="12331"/>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12275"/>
        <w:rPr>
          <w:rStyle w:val="C3"/>
          <w:rtl w:val="0"/>
        </w:rPr>
      </w:pPr>
    </w:p>
    <w:p>
      <w:pPr>
        <w:pStyle w:val="P31"/>
        <w:framePr w:w="3839" w:h="480" w:hRule="exact" w:wrap="none" w:vAnchor="page" w:hAnchor="margin" w:x="6856" w:y="12331"/>
        <w:rPr>
          <w:rStyle w:val="C22"/>
          <w:rtl w:val="0"/>
        </w:rPr>
      </w:pPr>
      <w:r>
        <w:rPr>
          <w:rStyle w:val="C22"/>
          <w:rtl w:val="0"/>
        </w:rPr>
        <w:t>Ústní ověření</w:t>
      </w:r>
    </w:p>
    <w:p>
      <w:pPr>
        <w:pStyle w:val="P12"/>
        <w:framePr w:w="6710" w:h="607" w:hRule="exact" w:wrap="none" w:vAnchor="page" w:hAnchor="margin" w:x="45" w:y="12882"/>
        <w:rPr>
          <w:rStyle w:val="C3"/>
          <w:rtl w:val="0"/>
        </w:rPr>
      </w:pPr>
    </w:p>
    <w:p>
      <w:pPr>
        <w:pStyle w:val="P13"/>
        <w:framePr w:w="6658" w:h="480" w:hRule="exact" w:wrap="none" w:vAnchor="page" w:hAnchor="margin" w:x="71" w:y="12938"/>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12882"/>
        <w:rPr>
          <w:rStyle w:val="C3"/>
          <w:rtl w:val="0"/>
        </w:rPr>
      </w:pPr>
    </w:p>
    <w:p>
      <w:pPr>
        <w:pStyle w:val="P29"/>
        <w:framePr w:w="3839" w:h="480" w:hRule="exact" w:wrap="none" w:vAnchor="page" w:hAnchor="margin" w:x="6856" w:y="12938"/>
        <w:rPr>
          <w:rStyle w:val="C21"/>
          <w:rtl w:val="0"/>
        </w:rPr>
      </w:pPr>
      <w:r>
        <w:rPr>
          <w:rStyle w:val="C21"/>
          <w:rtl w:val="0"/>
        </w:rPr>
        <w:t>Ústní ověření</w:t>
      </w:r>
    </w:p>
    <w:p>
      <w:pPr>
        <w:pStyle w:val="P32"/>
        <w:framePr w:w="10710" w:h="248" w:hRule="exact" w:wrap="none" w:vAnchor="page" w:hAnchor="margin" w:x="28" w:y="13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http://katalog.nsp.cz/karta_p.aspx?id_jp=7247&amp;kod_sm1=28).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průkaz pracovníka v potravinářství (zdravotní průkaz).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pomocí nichž uchazeč posoudí jakostní parametry syrového kravského mléka.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 v mlékárenské a sýrařské výrobě a střední vzdělání s maturitní zkouškou a alespoň 5 let odborné praxe v oblasti zpracování mléka,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21"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se zajištěnou dodávkou potřebných energií odpovídající bezpečnostním a hygienickým předpisům</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481"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v mlékárenské a sýrařské výrobě, 30.7.2026 5:56:54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DBF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D50F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84F9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