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D3EA1" Type="http://schemas.openxmlformats.org/officeDocument/2006/relationships/officeDocument" Target="/word/document.xml" /><Relationship Id="coreR31CD3EA1" Type="http://schemas.openxmlformats.org/package/2006/relationships/metadata/core-properties" Target="/docProps/core.xml" /><Relationship Id="customR31CD3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28.4.2026 19:57:34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28.4.2026 19:57:34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28.4.2026 19:57:34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