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5DEE3" Type="http://schemas.openxmlformats.org/officeDocument/2006/relationships/officeDocument" Target="/word/document.xml" /><Relationship Id="coreR6955DEE3" Type="http://schemas.openxmlformats.org/package/2006/relationships/metadata/core-properties" Target="/docProps/core.xml" /><Relationship Id="customR6955DE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13.6.2026 9:01:23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13.6.2026 9:01:23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13.6.2026 9:01:23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13.6.2026 9:01:23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13.6.2026 9:01:23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13.6.2026 9:01:23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13.6.2026 9:01:23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A0C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53F5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53E9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