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D3A07" Type="http://schemas.openxmlformats.org/officeDocument/2006/relationships/officeDocument" Target="/word/document.xml" /><Relationship Id="coreR107D3A07" Type="http://schemas.openxmlformats.org/package/2006/relationships/metadata/core-properties" Target="/docProps/core.xml" /><Relationship Id="customR107D3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4283" w:h="248" w:hRule="exact" w:wrap="none" w:vAnchor="page" w:hAnchor="margin" w:x="28" w:y="14804"/>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protihlukových a antivibračních izolací a akustických úprav budov, vydané v souladu se zákonem č. 179/2006 Sb. o uznávání výsledků dalšího vzdělávání, ve znění pozdějších předpisů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27.10.2026 5:30:26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05F8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AC98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1A820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C795A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