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3CB13" Type="http://schemas.openxmlformats.org/officeDocument/2006/relationships/officeDocument" Target="/word/document.xml" /><Relationship Id="coreR6DA3CB13" Type="http://schemas.openxmlformats.org/package/2006/relationships/metadata/core-properties" Target="/docProps/core.xml" /><Relationship Id="customR6DA3CB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28.10.2026 21:16:38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,,Analyzovat současnou organizační strukturu firmy a navrhnout její úpravy na základě předložené organizační struktury“.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dva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úkolem je vypracování předpokládaného rozpočtu na prezentaci firemních výrobků na veřejně dostupných akcích či veletrhu, kde musí být začleněny veškeré položky a náklady na samotnou realizaci. Ceny a jednotlivá čísla s tím spojená bude uchazeč čerpat z veřejně dostupných zdrojů.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na pozici manažera velkoobchodního skladu zajišťuje také komunikaci se státními kontrolními orgány, a proto je nutné znát základní aspekty dokumentace, kterou podnik disponuje. Vzhledem k interním směrnicím a formulářům obsahujícím citlivé údaje bude materiál poskytnut uchazeči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28.10.2026 21:16:38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28.10.2026 21:16:38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C7B1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